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Legacy</w:t>
      </w:r>
      <w:r>
        <w:t xml:space="preserve"> </w:t>
      </w:r>
      <w:r>
        <w:t xml:space="preserve">and</w:t>
      </w:r>
      <w:r>
        <w:t xml:space="preserve"> </w:t>
      </w:r>
      <w:r>
        <w:t xml:space="preserve">Future</w:t>
      </w:r>
      <w:r>
        <w:t xml:space="preserve"> </w:t>
      </w:r>
      <w:r>
        <w:t xml:space="preserve">of</w:t>
      </w:r>
      <w:r>
        <w:t xml:space="preserve"> </w:t>
      </w:r>
      <w:r>
        <w:t xml:space="preserve">Physics</w:t>
      </w:r>
      <w:r>
        <w:t xml:space="preserve"> </w:t>
      </w:r>
      <w:r>
        <w:t xml:space="preserve">in</w:t>
      </w:r>
      <w:r>
        <w:t xml:space="preserve"> </w:t>
      </w:r>
      <w:r>
        <w:t xml:space="preserve">Iran-Tehran</w:t>
      </w:r>
    </w:p>
    <w:bookmarkStart w:id="36" w:name="X2554f2340b149a7c7a0a37197e8f6001065b533"/>
    <w:p>
      <w:pPr>
        <w:pStyle w:val="Heading1"/>
      </w:pPr>
      <w:r>
        <w:t xml:space="preserve">Bridging Horizons: The Evolution and Modern Trajectory of Physics in Iran-Tehran</w:t>
      </w:r>
    </w:p>
    <w:p>
      <w:pPr>
        <w:pStyle w:val="FirstParagraph"/>
      </w:pPr>
      <w:r>
        <w:t xml:space="preserve">This academic poster presentation explores the multifaceted role of the physicist within the specific geopolitical, cultural, and scientific context of Iran-Tehran. As a hub for higher education and research in Western Asia, Tehran stands as a critical node where theoretical rigor meets national development goals. This document serves not only to outline historical milestones but also to propose strategic frameworks for future collaboration between international academia and the vibrant physics community currently established in Iran-Tehran.</w:t>
      </w:r>
    </w:p>
    <w:bookmarkStart w:id="22" w:name="X751dbfd543b076ed4fe4958d39bac826f111e37"/>
    <w:p>
      <w:pPr>
        <w:pStyle w:val="Heading2"/>
      </w:pPr>
      <w:r>
        <w:t xml:space="preserve">Section 1: Historical Context of Scientific Excellence</w:t>
      </w:r>
    </w:p>
    <w:bookmarkStart w:id="20" w:name="the-golden-age-and-its-aftermath"/>
    <w:p>
      <w:pPr>
        <w:pStyle w:val="Heading3"/>
      </w:pPr>
      <w:r>
        <w:t xml:space="preserve">The Golden Age and Its Aftermath</w:t>
      </w:r>
    </w:p>
    <w:p>
      <w:pPr>
        <w:pStyle w:val="FirstParagraph"/>
      </w:pPr>
      <w:r>
        <w:t xml:space="preserve">To understand the current state of a physicist operating in Iran-Tehran, one must look back to the rich history of Persian scientific contribution. From the observational astronomy of Al-Biruni to the mathematical innovations attributed to Omar Khayyam, Iran has historically been a cradle for scientific thought. This legacy provides a foundational narrative for modern physicists in Tehran, who often draw inspiration from these historical figures when framing their contemporary research proposals and academic identities.</w:t>
      </w:r>
    </w:p>
    <w:bookmarkEnd w:id="20"/>
    <w:bookmarkStart w:id="21" w:name="the-20th-century-expansion"/>
    <w:p>
      <w:pPr>
        <w:pStyle w:val="Heading3"/>
      </w:pPr>
      <w:r>
        <w:t xml:space="preserve">The 20th Century Expansion</w:t>
      </w:r>
    </w:p>
    <w:p>
      <w:pPr>
        <w:pStyle w:val="FirstParagraph"/>
      </w:pPr>
      <w:r>
        <w:t xml:space="preserve">The establishment of the University of Tehran and subsequent institutions created a structured environment for modern physics. By the mid-20th century, Iranian physicists were already contributing to global discourse in quantum mechanics and nuclear theory. However, this progress was periodically disrupted by political upheavals, creating periods where isolation from Western laboratories necessitated intense internal development of theoretical capabilities.</w:t>
      </w:r>
    </w:p>
    <w:bookmarkEnd w:id="21"/>
    <w:bookmarkEnd w:id="22"/>
    <w:bookmarkStart w:id="25" w:name="section-2-the-modern-physicist-in-tehran"/>
    <w:p>
      <w:pPr>
        <w:pStyle w:val="Heading2"/>
      </w:pPr>
      <w:r>
        <w:t xml:space="preserve">Section 2: The Modern Physicist in Tehran</w:t>
      </w:r>
    </w:p>
    <w:bookmarkStart w:id="23" w:name="dual-competencies-and-adaptability"/>
    <w:p>
      <w:pPr>
        <w:pStyle w:val="Heading3"/>
      </w:pPr>
      <w:r>
        <w:t xml:space="preserve">Dual Competencies and Adaptability</w:t>
      </w:r>
    </w:p>
    <w:p>
      <w:pPr>
        <w:pStyle w:val="FirstParagraph"/>
      </w:pPr>
      <w:r>
        <w:t xml:space="preserve">The contemporary physicist in Iran-Tehran is characterized by remarkable adaptability. Due to varying degrees of international sanctions and supply chain limitations regarding experimental equipment, theoretical physicists have flourished, often producing high-impact computational models. Conversely, experimentalists have demonstrated ingenuity in maintaining infrastructure through localized manufacturing and repair networks. This duality creates a unique profile for the Iranian physicist: one who is equally proficient in coding complex simulations as they are in hands-on hardware maintenance.</w:t>
      </w:r>
    </w:p>
    <w:bookmarkEnd w:id="23"/>
    <w:bookmarkStart w:id="24" w:name="key-research-domains"/>
    <w:p>
      <w:pPr>
        <w:pStyle w:val="Heading3"/>
      </w:pPr>
      <w:r>
        <w:t xml:space="preserve">Key Research Domains</w:t>
      </w:r>
    </w:p>
    <w:p>
      <w:pPr>
        <w:numPr>
          <w:ilvl w:val="0"/>
          <w:numId w:val="1001"/>
        </w:numPr>
        <w:pStyle w:val="Compact"/>
      </w:pPr>
      <w:r>
        <w:rPr>
          <w:bCs/>
          <w:b/>
        </w:rPr>
        <w:t xml:space="preserve">Nuclear Physics:</w:t>
      </w:r>
      <w:r>
        <w:t xml:space="preserve"> </w:t>
      </w:r>
      <w:r>
        <w:t xml:space="preserve">A field of national pride and strategic importance, focusing on both energy applications and fundamental particle interactions.</w:t>
      </w:r>
    </w:p>
    <w:p>
      <w:pPr>
        <w:numPr>
          <w:ilvl w:val="0"/>
          <w:numId w:val="1001"/>
        </w:numPr>
        <w:pStyle w:val="Compact"/>
      </w:pPr>
      <w:r>
        <w:rPr>
          <w:bCs/>
          <w:b/>
        </w:rPr>
        <w:t xml:space="preserve">Solid State Physics:</w:t>
      </w:r>
      <w:r>
        <w:t xml:space="preserve"> </w:t>
      </w:r>
      <w:r>
        <w:t xml:space="preserve">Research into materials science tailored for local industrial needs, including optics and semiconductors.</w:t>
      </w:r>
    </w:p>
    <w:p>
      <w:pPr>
        <w:numPr>
          <w:ilvl w:val="0"/>
          <w:numId w:val="1001"/>
        </w:numPr>
        <w:pStyle w:val="Compact"/>
      </w:pPr>
      <w:r>
        <w:rPr>
          <w:bCs/>
          <w:b/>
        </w:rPr>
        <w:t xml:space="preserve">Astrophysics and Cosmology:</w:t>
      </w:r>
      <w:r>
        <w:t xml:space="preserve"> </w:t>
      </w:r>
      <w:r>
        <w:t xml:space="preserve">Utilizing the clear night skies of northern Iran (near Tehran) for ground-based observational studies.</w:t>
      </w:r>
    </w:p>
    <w:bookmarkEnd w:id="24"/>
    <w:bookmarkEnd w:id="25"/>
    <w:bookmarkStart w:id="28" w:name="section-3-educational-infrastructure"/>
    <w:p>
      <w:pPr>
        <w:pStyle w:val="Heading2"/>
      </w:pPr>
      <w:r>
        <w:t xml:space="preserve">Section 3: Educational Infrastructure</w:t>
      </w:r>
    </w:p>
    <w:p>
      <w:pPr>
        <w:pStyle w:val="FirstParagraph"/>
      </w:pPr>
      <w:r>
        <w:t xml:space="preserve">The ecosystem supporting a physicist in Iran-Tehran is robust, anchored by premier institutions such as Sharif University of Technology, the University of Tehran, and Amirkabir University. These institutions have rigorous entry requirements that select for high mathematical aptitude.</w:t>
      </w:r>
    </w:p>
    <w:bookmarkStart w:id="26" w:name="the-graduate-school-ecosystem"/>
    <w:p>
      <w:pPr>
        <w:pStyle w:val="Heading3"/>
      </w:pPr>
      <w:r>
        <w:t xml:space="preserve">The Graduate School Ecosystem</w:t>
      </w:r>
    </w:p>
    <w:p>
      <w:pPr>
        <w:pStyle w:val="FirstParagraph"/>
      </w:pPr>
      <w:r>
        <w:t xml:space="preserve">Postgraduate education in Tehran is highly competitive. The curriculum often emphasizes heavy mathematics and theoretical foundations over immediate practical application, reflecting the global standard set by European doctoral traditions. This creates a workforce of physicists who are deeply analytical but may require additional resources when transitioning to experimental setups.</w:t>
      </w:r>
    </w:p>
    <w:bookmarkEnd w:id="26"/>
    <w:bookmarkStart w:id="27" w:name="student-associations-and-workshops"/>
    <w:p>
      <w:pPr>
        <w:pStyle w:val="Heading3"/>
      </w:pPr>
      <w:r>
        <w:t xml:space="preserve">Student Associations and Workshops</w:t>
      </w:r>
    </w:p>
    <w:p>
      <w:pPr>
        <w:pStyle w:val="FirstParagraph"/>
      </w:pPr>
      <w:r>
        <w:t xml:space="preserve">Beyond the classroom, student-led physics clubs play a crucial role. These groups organize workshops on programming languages (Python, C++, MATLAB) essential for modern data analysis. They also serve as informal networks for sharing knowledge about accessing international journals and databases during periods of restricted internet access.</w:t>
      </w:r>
    </w:p>
    <w:bookmarkEnd w:id="27"/>
    <w:bookmarkEnd w:id="28"/>
    <w:bookmarkStart w:id="30" w:name="section-4-challenges-and-obstacles"/>
    <w:p>
      <w:pPr>
        <w:pStyle w:val="Heading2"/>
      </w:pPr>
      <w:r>
        <w:t xml:space="preserve">Section 4: Challenges and Obstacles</w:t>
      </w:r>
    </w:p>
    <w:p>
      <w:pPr>
        <w:pStyle w:val="FirstParagraph"/>
      </w:pPr>
      <w:r>
        <w:rPr>
          <w:bCs/>
          <w:b/>
        </w:rPr>
        <w:t xml:space="preserve">The Sanctions Paradox:</w:t>
      </w:r>
      <w:r>
        <w:br/>
      </w:r>
      <w:r>
        <w:br/>
      </w:r>
      <w:r>
        <w:t xml:space="preserve">The physicist in Iran-Tehran operates under a paradox. While domestic funding has increased to support self-reliance, international collaboration remains hindered by geopolitical sanctions. This isolation limits access to state-of-the-art facilities such as the Large Hadron Collider (LHC) or advanced synchrotron light sources located in Europe and the United States.</w:t>
      </w:r>
    </w:p>
    <w:bookmarkStart w:id="29" w:name="brain-drain-vs.-brain-gain"/>
    <w:p>
      <w:pPr>
        <w:pStyle w:val="Heading3"/>
      </w:pPr>
      <w:r>
        <w:t xml:space="preserve">Brain Drain vs. Brain Gain</w:t>
      </w:r>
    </w:p>
    <w:p>
      <w:pPr>
        <w:pStyle w:val="FirstParagraph"/>
      </w:pPr>
      <w:r>
        <w:t xml:space="preserve">A persistent challenge is the "brain drain," where top talent emigrates for better opportunities. However, there is a counter-movement of "brain gain," where diaspora physicists return to Tehran to establish labs and mentor younger generations, bringing back global perspectives.</w:t>
      </w:r>
    </w:p>
    <w:bookmarkEnd w:id="29"/>
    <w:bookmarkEnd w:id="30"/>
    <w:bookmarkStart w:id="31" w:name="X6982963e2848ed314d4f37d4365206b19274e78"/>
    <w:p>
      <w:pPr>
        <w:pStyle w:val="Heading2"/>
      </w:pPr>
      <w:r>
        <w:t xml:space="preserve">Section 5: Strategic Framework for Future Collaboration</w:t>
      </w:r>
    </w:p>
    <w:p>
      <w:pPr>
        <w:pStyle w:val="FirstParagraph"/>
      </w:pPr>
      <w:r>
        <w:t xml:space="preserve">To maximize the potential of the physicist in Iran-Tehran, international bodies must adopt nuanced engagement strategies. Purely academic exchanges should be prioritized over politically sensitive collaborations.</w:t>
      </w:r>
    </w:p>
    <w:p>
      <w:pPr>
        <w:numPr>
          <w:ilvl w:val="0"/>
          <w:numId w:val="1002"/>
        </w:numPr>
        <w:pStyle w:val="Compact"/>
      </w:pPr>
      <w:r>
        <w:rPr>
          <w:bCs/>
          <w:b/>
        </w:rPr>
        <w:t xml:space="preserve">Virtual Labs:</w:t>
      </w:r>
      <w:r>
        <w:t xml:space="preserve"> </w:t>
      </w:r>
      <w:r>
        <w:t xml:space="preserve">Creating shared computing environments where researchers in Tehran can contribute to global datasets without physical presence abroad.</w:t>
      </w:r>
    </w:p>
    <w:p>
      <w:pPr>
        <w:numPr>
          <w:ilvl w:val="0"/>
          <w:numId w:val="1002"/>
        </w:numPr>
        <w:pStyle w:val="Compact"/>
      </w:pPr>
      <w:r>
        <w:rPr>
          <w:bCs/>
          <w:b/>
        </w:rPr>
        <w:t xml:space="preserve">Joint Publications:</w:t>
      </w:r>
      <w:r>
        <w:t xml:space="preserve"> </w:t>
      </w:r>
      <w:r>
        <w:t xml:space="preserve">Encouraging co-authorship opportunities that acknowledge the theoretical contributions of Iranian researchers.</w:t>
      </w:r>
    </w:p>
    <w:p>
      <w:pPr>
        <w:numPr>
          <w:ilvl w:val="0"/>
          <w:numId w:val="1002"/>
        </w:numPr>
        <w:pStyle w:val="Compact"/>
      </w:pPr>
      <w:r>
        <w:rPr>
          <w:bCs/>
          <w:b/>
        </w:rPr>
        <w:t xml:space="preserve">Seminars and Webinars:</w:t>
      </w:r>
      <w:r>
        <w:t xml:space="preserve"> </w:t>
      </w:r>
      <w:r>
        <w:t xml:space="preserve">Regular virtual seminars can help maintain intellectual currency for physicists in Tehran who cannot attend physical conferences.</w:t>
      </w:r>
    </w:p>
    <w:bookmarkEnd w:id="31"/>
    <w:bookmarkStart w:id="32" w:name="section-6-case-studies-of-success"/>
    <w:p>
      <w:pPr>
        <w:pStyle w:val="Heading2"/>
      </w:pPr>
      <w:r>
        <w:t xml:space="preserve">Section 6: Case Studies of Success</w:t>
      </w:r>
    </w:p>
    <w:p>
      <w:pPr>
        <w:pStyle w:val="FirstParagraph"/>
      </w:pPr>
      <w:r>
        <w:rPr>
          <w:bCs/>
          <w:b/>
        </w:rPr>
        <w:t xml:space="preserve">The Isfahan Laser Center:</w:t>
      </w:r>
      <w:r>
        <w:br/>
      </w:r>
      <w:r>
        <w:t xml:space="preserve">An example of high-level optical physics research conducted in proximity to the capital. This center has successfully developed laser technologies for medical and industrial applications, showcasing the practical output of theoretical training.</w:t>
      </w:r>
    </w:p>
    <w:p>
      <w:pPr>
        <w:pStyle w:val="BodyText"/>
      </w:pPr>
      <w:r>
        <w:rPr>
          <w:bCs/>
          <w:b/>
        </w:rPr>
        <w:t xml:space="preserve">Neutrino Detection Initiatives:</w:t>
      </w:r>
      <w:r>
        <w:br/>
      </w:r>
      <w:r>
        <w:t xml:space="preserve">Collaborations involving Iranian physicists in underground laboratories demonstrate how theoretical predictions are tested through localized experimental setups, often utilizing detectors designed with international components sourced through complex but successful diplomatic channels.</w:t>
      </w:r>
    </w:p>
    <w:bookmarkEnd w:id="32"/>
    <w:bookmarkStart w:id="33" w:name="section-7-policy-recommendations"/>
    <w:p>
      <w:pPr>
        <w:pStyle w:val="Heading2"/>
      </w:pPr>
      <w:r>
        <w:t xml:space="preserve">Section 7: Policy Recommendations</w:t>
      </w:r>
    </w:p>
    <w:p>
      <w:pPr>
        <w:pStyle w:val="FirstParagraph"/>
      </w:pPr>
      <w:r>
        <w:t xml:space="preserve">Policymakers aiming to support the physicist community in Iran-Tehran should focus on three pillars:</w:t>
      </w:r>
    </w:p>
    <w:p>
      <w:pPr>
        <w:numPr>
          <w:ilvl w:val="0"/>
          <w:numId w:val="1003"/>
        </w:numPr>
        <w:pStyle w:val="Compact"/>
      </w:pPr>
      <w:r>
        <w:rPr>
          <w:bCs/>
          <w:b/>
        </w:rPr>
        <w:t xml:space="preserve">Digital Infrastructure:</w:t>
      </w:r>
      <w:r>
        <w:t xml:space="preserve"> </w:t>
      </w:r>
      <w:r>
        <w:t xml:space="preserve">Ensuring reliable high-speed internet access for accessing global literature and cloud computing resources.</w:t>
      </w:r>
    </w:p>
    <w:p>
      <w:pPr>
        <w:numPr>
          <w:ilvl w:val="0"/>
          <w:numId w:val="1003"/>
        </w:numPr>
        <w:pStyle w:val="Compact"/>
      </w:pPr>
      <w:r>
        <w:rPr>
          <w:bCs/>
          <w:b/>
        </w:rPr>
        <w:t xml:space="preserve">Funding Stability:</w:t>
      </w:r>
      <w:r>
        <w:t xml:space="preserve"> </w:t>
      </w:r>
      <w:r>
        <w:t xml:space="preserve">Providing consistent government grants to allow long-term planning, as research cycles in physics often span years rather than months.</w:t>
      </w:r>
    </w:p>
    <w:p>
      <w:pPr>
        <w:numPr>
          <w:ilvl w:val="0"/>
          <w:numId w:val="1003"/>
        </w:numPr>
        <w:pStyle w:val="Compact"/>
      </w:pPr>
      <w:r>
        <w:rPr>
          <w:bCs/>
          <w:b/>
        </w:rPr>
        <w:t xml:space="preserve">Cultural Exchange:</w:t>
      </w:r>
      <w:r>
        <w:t xml:space="preserve"> </w:t>
      </w:r>
      <w:r>
        <w:t xml:space="preserve">Facilitating visits by international physicists to Tehran not just for data collection, but for cultural immersion and relationship building.</w:t>
      </w:r>
    </w:p>
    <w:bookmarkEnd w:id="33"/>
    <w:bookmarkStart w:id="34" w:name="section-8-conclusion"/>
    <w:p>
      <w:pPr>
        <w:pStyle w:val="Heading2"/>
      </w:pPr>
      <w:r>
        <w:t xml:space="preserve">Section 8: Conclusion</w:t>
      </w:r>
    </w:p>
    <w:p>
      <w:pPr>
        <w:pStyle w:val="FirstParagraph"/>
      </w:pPr>
      <w:r>
        <w:t xml:space="preserve">The physicist in Iran-Tehran is a resilient, intellectually rigorous professional who contributes significantly to the global scientific community despite external pressures. By recognizing the specific context of this region—its rich history, its educational strengths, and its current geopolitical challenges—we can foster a more inclusive global physics environment.</w:t>
      </w:r>
    </w:p>
    <w:p>
      <w:pPr>
        <w:pStyle w:val="BodyText"/>
      </w:pPr>
      <w:r>
        <w:t xml:space="preserve">This poster presentation argues that supporting physicists in Iran-Tehran is not merely an act of charity but a strategic investment in science. The theoretical insights generated from these institutions have the potential to solve complex global problems, from energy sustainability to material engineering. Therefore, bridging the gap between Tehran and the wider world remains a vital objective for the future of physics.</w:t>
      </w:r>
    </w:p>
    <w:bookmarkEnd w:id="34"/>
    <w:bookmarkStart w:id="35" w:name="references-and-further-reading"/>
    <w:p>
      <w:pPr>
        <w:pStyle w:val="Heading2"/>
      </w:pPr>
      <w:r>
        <w:t xml:space="preserve">References and Further Reading</w:t>
      </w:r>
    </w:p>
    <w:p>
      <w:pPr>
        <w:numPr>
          <w:ilvl w:val="0"/>
          <w:numId w:val="1004"/>
        </w:numPr>
        <w:pStyle w:val="Compact"/>
      </w:pPr>
      <w:r>
        <w:t xml:space="preserve">Ministry of Science, Research and Technology (MSRT) Annual Reports on Higher Education in Iran.</w:t>
      </w:r>
    </w:p>
    <w:p>
      <w:pPr>
        <w:numPr>
          <w:ilvl w:val="0"/>
          <w:numId w:val="1004"/>
        </w:numPr>
        <w:pStyle w:val="Compact"/>
      </w:pPr>
      <w:r>
        <w:t xml:space="preserve">Journal of Physics Communications – Special Issues on Middle Eastern Physics Research.</w:t>
      </w:r>
    </w:p>
    <w:p>
      <w:pPr>
        <w:numPr>
          <w:ilvl w:val="0"/>
          <w:numId w:val="1004"/>
        </w:numPr>
        <w:pStyle w:val="Compact"/>
      </w:pPr>
      <w:r>
        <w:t xml:space="preserve">Interviews with Faculty Members at Sharif University of Technology, Department of Physics (2023).</w:t>
      </w:r>
    </w:p>
    <w:bookmarkEnd w:id="35"/>
    <w:bookmarkEnd w:id="36"/>
    <w:p>
      <w:pPr>
        <w:pStyle w:val="FirstParagraph"/>
      </w:pPr>
      <w:r>
        <w:t xml:space="preserve">© 2023 Academic Poster Presentation Series | Focused on International Physics Collaborations in the Middle East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Legacy and Future of Physics in Iran-Tehran</dc:title>
  <dc:creator/>
  <dc:language>en</dc:language>
  <cp:keywords/>
  <dcterms:created xsi:type="dcterms:W3CDTF">2026-07-29T04:11:11Z</dcterms:created>
  <dcterms:modified xsi:type="dcterms:W3CDTF">2026-07-29T04:11:11Z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