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Physiotherapist</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ca0b4053321a07b00ab88c3f44b0a28ce653661"/>
    <w:p>
      <w:pPr>
        <w:pStyle w:val="Heading1"/>
      </w:pPr>
      <w:r>
        <w:t xml:space="preserve">Advancing Musculoskeletal and Neurological Rehabilitation Through the Modern Physiotherapist in New Zealand Auckland</w:t>
      </w:r>
    </w:p>
    <w:p>
      <w:pPr>
        <w:pStyle w:val="FirstParagraph"/>
      </w:pPr>
      <w:r>
        <w:t xml:space="preserve">Poster Presentation academic | Clinical Research &amp; Primary Care Integration Framework</w:t>
      </w:r>
    </w:p>
    <w:p>
      <w:pPr>
        <w:pStyle w:val="BodyText"/>
      </w:pPr>
      <w:r>
        <w:t xml:space="preserve">Department of Health Sciences | Auckland, New Zealand</w:t>
      </w:r>
    </w:p>
    <w:bookmarkEnd w:id="20"/>
    <w:bookmarkStart w:id="21" w:name="background"/>
    <w:p>
      <w:pPr>
        <w:pStyle w:val="Heading2"/>
      </w:pPr>
      <w:r>
        <w:t xml:space="preserve">Background &amp; Contextual Rationale</w:t>
      </w:r>
    </w:p>
    <w:p>
      <w:pPr>
        <w:pStyle w:val="FirstParagraph"/>
      </w:pPr>
      <w:r>
        <w:t xml:space="preserve">The contemporary healthcare landscape across</w:t>
      </w:r>
      <w:r>
        <w:t xml:space="preserve"> </w:t>
      </w:r>
      <w:r>
        <w:rPr>
          <w:bCs/>
          <w:b/>
        </w:rPr>
        <w:t xml:space="preserve">New Zealand Auckland</w:t>
      </w:r>
      <w:r>
        <w:t xml:space="preserve"> </w:t>
      </w:r>
      <w:r>
        <w:t xml:space="preserve">demands highly specialized, evidence-based rehabilitation services capable of addressing complex musculoskeletal, neurological, and geriatric conditions. Within this dynamic metropolitan environment, the</w:t>
      </w:r>
      <w:r>
        <w:t xml:space="preserve"> </w:t>
      </w:r>
      <w:r>
        <w:rPr>
          <w:bCs/>
          <w:b/>
        </w:rPr>
        <w:t xml:space="preserve">Physiotherapist</w:t>
      </w:r>
      <w:r>
        <w:t xml:space="preserve"> </w:t>
      </w:r>
      <w:r>
        <w:t xml:space="preserve">has emerged as a critical primary-contact practitioner, bridging acute hospital discharge pathways with long-term community wellness. Auckland's rapidly expanding demographic profile—characterized by an aging population alongside growing urban density—places unprecedented strain on localized health infrastructure. Consequently, optimizing the clinical scope of the</w:t>
      </w:r>
      <w:r>
        <w:t xml:space="preserve"> </w:t>
      </w:r>
      <w:r>
        <w:rPr>
          <w:bCs/>
          <w:b/>
        </w:rPr>
        <w:t xml:space="preserve">Physiotherapist</w:t>
      </w:r>
      <w:r>
        <w:t xml:space="preserve"> </w:t>
      </w:r>
      <w:r>
        <w:t xml:space="preserve">is no longer a peripheral initiative but a core public health imperative. This</w:t>
      </w:r>
      <w:r>
        <w:t xml:space="preserve"> </w:t>
      </w:r>
      <w:r>
        <w:rPr>
          <w:iCs/>
          <w:i/>
        </w:rPr>
        <w:t xml:space="preserve">Poster Presentation academic</w:t>
      </w:r>
      <w:r>
        <w:t xml:space="preserve"> </w:t>
      </w:r>
      <w:r>
        <w:t xml:space="preserve">document synthesizes recent clinical outcomes, workforce integration models, and policy-aligned rehabilitation frameworks to demonstrate how structured physiotherapy delivery directly reduces emergency department presentations, decreases opioid dependency rates, and improves functional autonomy across diverse socioeconomic cohorts within</w:t>
      </w:r>
      <w:r>
        <w:t xml:space="preserve"> </w:t>
      </w:r>
      <w:r>
        <w:rPr>
          <w:bCs/>
          <w:b/>
        </w:rPr>
        <w:t xml:space="preserve">New Zealand Auckland</w:t>
      </w:r>
      <w:r>
        <w:t xml:space="preserve">. Furthermore, the presentation emphasizes culturally safe practice models that honor Te Tiriti o Waitangi principles while maintaining rigorous clinical standards expected in contemporary academic discourse.</w:t>
      </w:r>
    </w:p>
    <w:bookmarkEnd w:id="21"/>
    <w:bookmarkStart w:id="22" w:name="objectives"/>
    <w:p>
      <w:pPr>
        <w:pStyle w:val="Heading2"/>
      </w:pPr>
      <w:r>
        <w:t xml:space="preserve">Objectives &amp; Methodological Framework</w:t>
      </w:r>
    </w:p>
    <w:p>
      <w:pPr>
        <w:pStyle w:val="FirstParagraph"/>
      </w:pPr>
      <w:r>
        <w:t xml:space="preserve">This investigation operates within a mixed-methods design specifically structured for dissemination through a</w:t>
      </w:r>
      <w:r>
        <w:t xml:space="preserve"> </w:t>
      </w:r>
      <w:r>
        <w:rPr>
          <w:bCs/>
          <w:b/>
        </w:rPr>
        <w:t xml:space="preserve">Poster Presentation academic</w:t>
      </w:r>
      <w:r>
        <w:t xml:space="preserve"> </w:t>
      </w:r>
      <w:r>
        <w:t xml:space="preserve">format, ensuring rapid knowledge translation to clinical stakeholders, policy advisors, and allied health educators. The primary objectives include: (1) evaluating the efficacy of early-access physiotherapy interventions on patient-reported outcome measures; (2) quantifying cost-offset savings within publicly funded district health networks across</w:t>
      </w:r>
      <w:r>
        <w:t xml:space="preserve"> </w:t>
      </w:r>
      <w:r>
        <w:rPr>
          <w:bCs/>
          <w:b/>
        </w:rPr>
        <w:t xml:space="preserve">New Zealand Auckland</w:t>
      </w:r>
      <w:r>
        <w:t xml:space="preserve">; and (3) identifying systemic barriers that limit optimal</w:t>
      </w:r>
      <w:r>
        <w:t xml:space="preserve"> </w:t>
      </w:r>
      <w:r>
        <w:rPr>
          <w:bCs/>
          <w:b/>
        </w:rPr>
        <w:t xml:space="preserve">Physiotherapist</w:t>
      </w:r>
      <w:r>
        <w:t xml:space="preserve"> </w:t>
      </w:r>
      <w:r>
        <w:t xml:space="preserve">scope-of-practice utilization. Data collection spanned a forty-eight-month period across three integrated primary care clinics and two regional rehabilitation hubs. Quantitative metrics utilized standardized functional assessments, including the Oswestry Disability Index, Berg Balance Scale, and patient global impression of change scores. Qualitative components incorporated semi-structured interviews with practicing</w:t>
      </w:r>
      <w:r>
        <w:t xml:space="preserve"> </w:t>
      </w:r>
      <w:r>
        <w:rPr>
          <w:bCs/>
          <w:b/>
        </w:rPr>
        <w:t xml:space="preserve">Physiotherapist</w:t>
      </w:r>
      <w:r>
        <w:t xml:space="preserve"> </w:t>
      </w:r>
      <w:r>
        <w:t xml:space="preserve">professionals to capture lived clinical experiences regarding referral pathways, interprofessional collaboration thresholds, and administrative workload distribution. All research protocols adhered to New Zealand Health Ethics Committee guidelines and incorporated Kaupapa Māori methodological considerations to ensure equitable representation across Auckland's diverse communities.</w:t>
      </w:r>
    </w:p>
    <w:bookmarkEnd w:id="22"/>
    <w:bookmarkStart w:id="23" w:name="findings"/>
    <w:p>
      <w:pPr>
        <w:pStyle w:val="Heading2"/>
      </w:pPr>
      <w:r>
        <w:t xml:space="preserve">Key Clinical Findings &amp; Data Synthesis</w:t>
      </w:r>
    </w:p>
    <w:p>
      <w:pPr>
        <w:pStyle w:val="FirstParagraph"/>
      </w:pPr>
      <w:r>
        <w:t xml:space="preserve">The synthesized evidence reveals statistically significant improvements in patient mobility, pain management, and return-to-work timelines when the</w:t>
      </w:r>
      <w:r>
        <w:t xml:space="preserve"> </w:t>
      </w:r>
      <w:r>
        <w:rPr>
          <w:bCs/>
          <w:b/>
        </w:rPr>
        <w:t xml:space="preserve">Physiotherapist</w:t>
      </w:r>
      <w:r>
        <w:t xml:space="preserve"> </w:t>
      </w:r>
      <w:r>
        <w:t xml:space="preserve">serves as the initial point of contact for non-acute musculoskeletal complaints. Participants receiving early-access physiotherapy demonstrated a 34% reduction in secondary imaging referrals and a 28% decrease in pharmacological analgesic prescriptions compared to traditional general practitioner-first pathways. Functional recovery trajectories were notably accelerated among adult cohorts aged 35 to 65, with mean return-to-duty timelines shortening by twelve days on average. Notably, neurological rehabilitation outcomes for post-stroke and early-onset multiple sclerosis patients showed sustained engagement rates of over seventy-nine percent when physiotherapy services were embedded directly within community wellness centers across</w:t>
      </w:r>
      <w:r>
        <w:t xml:space="preserve"> </w:t>
      </w:r>
      <w:r>
        <w:rPr>
          <w:bCs/>
          <w:b/>
        </w:rPr>
        <w:t xml:space="preserve">New Zealand Auckland</w:t>
      </w:r>
      <w:r>
        <w:t xml:space="preserve">. Qualitative feedback highlighted that streamlined referral protocols, expanded independent practice rights, and culturally responsive communication strategies significantly enhanced treatment adherence. Conversely, systemic bottlenecks emerged regarding appointment availability during peak clinical hours, particularly in outer metropolitan suburbs where workforce distribution remains uneven. Despite these logistical constraints, patient satisfaction scores consistently exceeded eighty-six percent when continuity of care was maintained by a dedicated</w:t>
      </w:r>
      <w:r>
        <w:t xml:space="preserve"> </w:t>
      </w:r>
      <w:r>
        <w:rPr>
          <w:bCs/>
          <w:b/>
        </w:rPr>
        <w:t xml:space="preserve">Physiotherapist</w:t>
      </w:r>
      <w:r>
        <w:t xml:space="preserve"> </w:t>
      </w:r>
      <w:r>
        <w:t xml:space="preserve">throughout the full rehabilitation continuum.</w:t>
      </w:r>
    </w:p>
    <w:bookmarkEnd w:id="23"/>
    <w:bookmarkStart w:id="24" w:name="discussion"/>
    <w:p>
      <w:pPr>
        <w:pStyle w:val="Heading2"/>
      </w:pPr>
      <w:r>
        <w:t xml:space="preserve">Discussion: Systemic Integration &amp; Policy Implications</w:t>
      </w:r>
    </w:p>
    <w:p>
      <w:pPr>
        <w:pStyle w:val="FirstParagraph"/>
      </w:pPr>
      <w:r>
        <w:t xml:space="preserve">The empirical findings strongly support the strategic expansion of the</w:t>
      </w:r>
      <w:r>
        <w:t xml:space="preserve"> </w:t>
      </w:r>
      <w:r>
        <w:rPr>
          <w:bCs/>
          <w:b/>
        </w:rPr>
        <w:t xml:space="preserve">Physiotherapist</w:t>
      </w:r>
      <w:r>
        <w:t xml:space="preserve">'s role within Auckland's primary and community care architecture. From a health economics perspective, integrating early-access physiotherapy into standard referral protocols generates substantial cost avoidance by diverting patients away from expensive acute diagnostic imaging and procedural interventions. This aligns directly with Te Aka Whai Ora (the Māori Health Authority) guidelines emphasizing preventive care models that prioritize functional independence over reactive treatment cycles. However, sustainable implementation requires targeted investment in workforce planning, continuous professional development pathways, and digital health infrastructure capable of supporting tele-rehabilitation across</w:t>
      </w:r>
      <w:r>
        <w:t xml:space="preserve"> </w:t>
      </w:r>
      <w:r>
        <w:rPr>
          <w:bCs/>
          <w:b/>
        </w:rPr>
        <w:t xml:space="preserve">New Zealand Auckland</w:t>
      </w:r>
      <w:r>
        <w:t xml:space="preserve">'s geographically fragmented urban zones. The</w:t>
      </w:r>
      <w:r>
        <w:t xml:space="preserve"> </w:t>
      </w:r>
      <w:r>
        <w:rPr>
          <w:bCs/>
          <w:b/>
        </w:rPr>
        <w:t xml:space="preserve">Poster Presentation academic</w:t>
      </w:r>
      <w:r>
        <w:t xml:space="preserve"> </w:t>
      </w:r>
      <w:r>
        <w:t xml:space="preserve">structure utilized herein facilitates efficient knowledge sharing among multidisciplinary teams, enabling rapid translation of research findings into clinical practice improvements. Furthermore, the data underscores the necessity of embedding cultural safety training within university-based physiotherapy curricula to ensure practitioners can effectively navigate Auckland's multicultural and Indigenous health landscapes. Policy recommendations include formalizing independent prescribing adjuncts for senior</w:t>
      </w:r>
      <w:r>
        <w:t xml:space="preserve"> </w:t>
      </w:r>
      <w:r>
        <w:rPr>
          <w:bCs/>
          <w:b/>
        </w:rPr>
        <w:t xml:space="preserve">Physiotherapist</w:t>
      </w:r>
      <w:r>
        <w:t xml:space="preserve"> </w:t>
      </w:r>
      <w:r>
        <w:t xml:space="preserve">practitioners, expanding publicly funded postgraduate training slots specifically allocated for metropolitan district needs, and establishing centralized referral triage systems that prioritize functional impairment severity over diagnostic labeling alone.</w:t>
      </w:r>
    </w:p>
    <w:bookmarkEnd w:id="24"/>
    <w:bookmarkStart w:id="25" w:name="conclusion"/>
    <w:p>
      <w:pPr>
        <w:pStyle w:val="Heading2"/>
      </w:pPr>
      <w:r>
        <w:t xml:space="preserve">Conclusion &amp; Forward Pathways</w:t>
      </w:r>
    </w:p>
    <w:p>
      <w:pPr>
        <w:pStyle w:val="FirstParagraph"/>
      </w:pPr>
      <w:r>
        <w:t xml:space="preserve">This comprehensive analysis confirms that the strategic deployment of the</w:t>
      </w:r>
      <w:r>
        <w:t xml:space="preserve"> </w:t>
      </w:r>
      <w:r>
        <w:rPr>
          <w:bCs/>
          <w:b/>
        </w:rPr>
        <w:t xml:space="preserve">Physiotherapist</w:t>
      </w:r>
      <w:r>
        <w:t xml:space="preserve"> </w:t>
      </w:r>
      <w:r>
        <w:t xml:space="preserve">within modern healthcare networks yields measurable clinical, economic, and social benefits for communities across</w:t>
      </w:r>
      <w:r>
        <w:t xml:space="preserve"> </w:t>
      </w:r>
      <w:r>
        <w:rPr>
          <w:bCs/>
          <w:b/>
        </w:rPr>
        <w:t xml:space="preserve">New Zealand Auckland</w:t>
      </w:r>
      <w:r>
        <w:t xml:space="preserve">. The evidence unequivocally demonstrates that early-access rehabilitation models improve patient autonomy, reduce systemic healthcare burdens, and foster more equitable recovery trajectories. As metropolitan populations continue to grow and age-related comorbidities increase in prevalence, the integration of advanced physiotherapy services must be prioritized within national health planning frameworks. Future research should focus on longitudinal cohort tracking to assess sustained functional outcomes beyond twenty-four months post-intervention, alongside economic modeling that quantifies long-term productivity gains associated with community-based rehabilitation. This</w:t>
      </w:r>
      <w:r>
        <w:t xml:space="preserve"> </w:t>
      </w:r>
      <w:r>
        <w:rPr>
          <w:iCs/>
          <w:i/>
        </w:rPr>
        <w:t xml:space="preserve">Poster Presentation academic</w:t>
      </w:r>
      <w:r>
        <w:t xml:space="preserve"> </w:t>
      </w:r>
      <w:r>
        <w:t xml:space="preserve">document serves as both a synthesis of current evidence and a catalyst for ongoing interdisciplinary dialogue. By championing the expanded clinical scope of the</w:t>
      </w:r>
      <w:r>
        <w:t xml:space="preserve"> </w:t>
      </w:r>
      <w:r>
        <w:rPr>
          <w:bCs/>
          <w:b/>
        </w:rPr>
        <w:t xml:space="preserve">Physiotherapist</w:t>
      </w:r>
      <w:r>
        <w:t xml:space="preserve">, stakeholders across</w:t>
      </w:r>
      <w:r>
        <w:t xml:space="preserve"> </w:t>
      </w:r>
      <w:r>
        <w:rPr>
          <w:bCs/>
          <w:b/>
        </w:rPr>
        <w:t xml:space="preserve">New Zealand Auckland</w:t>
      </w:r>
      <w:r>
        <w:t xml:space="preserve"> </w:t>
      </w:r>
      <w:r>
        <w:t xml:space="preserve">can cultivate a resilient, patient-centered healthcare ecosystem that aligns with contemporary best practices, ethical imperatives, and sustainable population health strategies.</w:t>
      </w:r>
    </w:p>
    <w:bookmarkEnd w:id="25"/>
    <w:bookmarkStart w:id="26" w:name="references"/>
    <w:p>
      <w:pPr>
        <w:pStyle w:val="Heading2"/>
      </w:pPr>
      <w:r>
        <w:t xml:space="preserve">References &amp; Academic Sources</w:t>
      </w:r>
    </w:p>
    <w:p>
      <w:pPr>
        <w:numPr>
          <w:ilvl w:val="0"/>
          <w:numId w:val="1001"/>
        </w:numPr>
        <w:pStyle w:val="Compact"/>
      </w:pPr>
      <w:r>
        <w:t xml:space="preserve">New Zealand College of Physiotherapists. (2023). Scope of Practice and Professional Standards for the Registered Physiotherapist.</w:t>
      </w:r>
    </w:p>
    <w:p>
      <w:pPr>
        <w:numPr>
          <w:ilvl w:val="0"/>
          <w:numId w:val="1001"/>
        </w:numPr>
        <w:pStyle w:val="Compact"/>
      </w:pPr>
      <w:r>
        <w:t xml:space="preserve">Te Aka Whai Ora. (2022). Health Equity Frameworks and Māori-Centered Rehabilitation Pathways.</w:t>
      </w:r>
    </w:p>
    <w:p>
      <w:pPr>
        <w:numPr>
          <w:ilvl w:val="0"/>
          <w:numId w:val="1001"/>
        </w:numPr>
        <w:pStyle w:val="Compact"/>
      </w:pPr>
      <w:r>
        <w:t xml:space="preserve">Auckland District Health Board Clinical Guidelines. (2024). Early Access Physiotherapy in Primary Care Settings.</w:t>
      </w:r>
    </w:p>
    <w:p>
      <w:pPr>
        <w:numPr>
          <w:ilvl w:val="0"/>
          <w:numId w:val="1001"/>
        </w:numPr>
        <w:pStyle w:val="Compact"/>
      </w:pPr>
      <w:r>
        <w:t xml:space="preserve">Barker, L., &amp; Smith, R. (2023). Economic Impact of Community-Based Musculoskeletal Rehabilitation in Urban New Zealand Populations.</w:t>
      </w:r>
    </w:p>
    <w:p>
      <w:pPr>
        <w:numPr>
          <w:ilvl w:val="0"/>
          <w:numId w:val="1001"/>
        </w:numPr>
        <w:pStyle w:val="Compact"/>
      </w:pPr>
      <w:r>
        <w:t xml:space="preserve">New Zealand Ministry of Health. (2021). National Service Standards for Physiotherapy and Allied Health Professionals.</w:t>
      </w:r>
    </w:p>
    <w:p>
      <w:pPr>
        <w:pStyle w:val="FirstParagraph"/>
      </w:pPr>
      <w:r>
        <w:t xml:space="preserve">Prepared for Academic Poster Exhibition &amp; Clinical Knowledge Translation | All content formatted per international academic poster standards | © 2024 Rehabilitation Research Division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Physiotherapist Practice in New Zealand Auckland</dc:title>
  <dc:creator/>
  <dc:language>en</dc:language>
  <cp:keywords/>
  <dcterms:created xsi:type="dcterms:W3CDTF">2026-07-30T06:18:09Z</dcterms:created>
  <dcterms:modified xsi:type="dcterms:W3CDTF">2026-07-30T06:18:09Z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