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Evolution</w:t>
      </w:r>
      <w:r>
        <w:t xml:space="preserve"> </w:t>
      </w:r>
      <w:r>
        <w:t xml:space="preserve">of</w:t>
      </w:r>
      <w:r>
        <w:t xml:space="preserve"> </w:t>
      </w:r>
      <w:r>
        <w:t xml:space="preserve">Political</w:t>
      </w:r>
      <w:r>
        <w:t xml:space="preserve"> </w:t>
      </w:r>
      <w:r>
        <w:t xml:space="preserve">Representation</w:t>
      </w:r>
      <w:r>
        <w:t xml:space="preserve"> </w:t>
      </w:r>
      <w:r>
        <w:t xml:space="preserve">in</w:t>
      </w:r>
      <w:r>
        <w:t xml:space="preserve"> </w:t>
      </w:r>
      <w:r>
        <w:t xml:space="preserve">Toronto</w:t>
      </w:r>
    </w:p>
    <w:bookmarkStart w:id="30" w:name="Xa03767f387a8b718e01cd8d8a47ac6701cbbeff"/>
    <w:p>
      <w:pPr>
        <w:pStyle w:val="Heading1"/>
      </w:pPr>
      <w:r>
        <w:t xml:space="preserve">Bridging the Gap: The Role of the Modern Politician in Toronto’s Diverse Civic Landscape</w:t>
      </w:r>
    </w:p>
    <w:p>
      <w:pPr>
        <w:pStyle w:val="FirstParagraph"/>
      </w:pPr>
      <w:r>
        <w:rPr>
          <w:bCs/>
          <w:b/>
        </w:rPr>
        <w:t xml:space="preserve">Presenter:</w:t>
      </w:r>
      <w:r>
        <w:t xml:space="preserve"> </w:t>
      </w:r>
      <w:r>
        <w:t xml:space="preserve">Dr. Alex Mercer</w:t>
      </w:r>
      <w:r>
        <w:br/>
      </w:r>
      <w:r>
        <w:rPr>
          <w:bCs/>
          <w:b/>
        </w:rPr>
        <w:t xml:space="preserve">Institution:</w:t>
      </w:r>
      <w:r>
        <w:t xml:space="preserve"> </w:t>
      </w:r>
      <w:r>
        <w:t xml:space="preserve">Institute for Urban Policy and Governance</w:t>
      </w:r>
      <w:r>
        <w:br/>
      </w:r>
      <w:r>
        <w:rPr>
          <w:bCs/>
          <w:b/>
        </w:rPr>
        <w:t xml:space="preserve">Event:</w:t>
      </w:r>
      <w:r>
        <w:t xml:space="preserve"> </w:t>
      </w:r>
      <w:r>
        <w:t xml:space="preserve">Annual Canadian Political Science Association Conference</w:t>
      </w:r>
    </w:p>
    <w:bookmarkStart w:id="20" w:name="i.-abstract"/>
    <w:p>
      <w:pPr>
        <w:pStyle w:val="Heading2"/>
      </w:pPr>
      <w:r>
        <w:t xml:space="preserve">I. Abstract</w:t>
      </w:r>
    </w:p>
    <w:p>
      <w:pPr>
        <w:pStyle w:val="FirstParagraph"/>
      </w:pPr>
      <w:r>
        <w:t xml:space="preserve">This poster presentation explores the evolving dynamics of political leadership within one of North America’s most cosmopolitan municipalities. As Toronto, Ontario, Canada continues to experience unprecedented demographic shifts and economic growth, the role of the local politician has transcended traditional legislative duties. This study analyzes how a contemporary politician must navigate complex multicultural identities, housing crises, and infrastructure demands. By examining recent policy outcomes in</w:t>
      </w:r>
      <w:r>
        <w:t xml:space="preserve"> </w:t>
      </w:r>
      <w:r>
        <w:t xml:space="preserve">Canada Toronto</w:t>
      </w:r>
      <w:r>
        <w:t xml:space="preserve">, we argue that successful political engagement requires a hybrid model of representation that balances immediate constituent service with long-term strategic urban planning.</w:t>
      </w:r>
    </w:p>
    <w:bookmarkEnd w:id="20"/>
    <w:bookmarkStart w:id="21" w:name="Xc8b795e7e6111ceb6ceffafe8eea11c206fbe04"/>
    <w:p>
      <w:pPr>
        <w:pStyle w:val="Heading2"/>
      </w:pPr>
      <w:r>
        <w:t xml:space="preserve">II. Introduction: The Context of Modern Governance</w:t>
      </w:r>
    </w:p>
    <w:p>
      <w:pPr>
        <w:pStyle w:val="FirstParagraph"/>
      </w:pPr>
      <w:r>
        <w:t xml:space="preserve">Toronto is often cited as a global benchmark for diversity, with over half its population born outside of Canada. For any</w:t>
      </w:r>
      <w:r>
        <w:t xml:space="preserve"> </w:t>
      </w:r>
      <w:r>
        <w:rPr>
          <w:bCs/>
          <w:b/>
        </w:rPr>
        <w:t xml:space="preserve">Po</w:t>
      </w:r>
      <w:r>
        <w:t xml:space="preserve">litician</w:t>
      </w:r>
      <w:r>
        <w:t xml:space="preserve"> </w:t>
      </w:r>
      <w:r>
        <w:t xml:space="preserve">operating within this jurisdiction, the challenge is not merely administrative but deeply sociological. The traditional model of representation—where elected officials act as proxies for homogenous districts—is increasingly obsolete in a city where neighborhoods can vary dramatically in cultural composition, income levels, and infrastructure needs within mere kilometers of each other.</w:t>
      </w:r>
    </w:p>
    <w:p>
      <w:pPr>
        <w:pStyle w:val="BodyText"/>
      </w:pPr>
      <w:r>
        <w:t xml:space="preserve">This presentation posits that the effective politician in Toronto today must function as a mediator between competing interests: long-time residents fearing displacement, newcomers seeking integration, and business stakeholders demanding efficiency. The unique legal framework of Ontario municipal law further complicates this role, as City Hall possesses limited jurisdiction compared to federal or provincial counterparts.</w:t>
      </w:r>
    </w:p>
    <w:bookmarkEnd w:id="21"/>
    <w:bookmarkStart w:id="22" w:name="iii.-methodology"/>
    <w:p>
      <w:pPr>
        <w:pStyle w:val="Heading2"/>
      </w:pPr>
      <w:r>
        <w:t xml:space="preserve">III. Methodology</w:t>
      </w:r>
    </w:p>
    <w:p>
      <w:pPr>
        <w:pStyle w:val="FirstParagraph"/>
      </w:pPr>
      <w:r>
        <w:t xml:space="preserve">To understand the efficacy of current political strategies in</w:t>
      </w:r>
      <w:r>
        <w:t xml:space="preserve"> </w:t>
      </w:r>
      <w:r>
        <w:rPr>
          <w:bCs/>
          <w:b/>
        </w:rPr>
        <w:t xml:space="preserve">Canada Toronto</w:t>
      </w:r>
      <w:r>
        <w:t xml:space="preserve">, this study employs a mixed-methods approach:</w:t>
      </w:r>
    </w:p>
    <w:p>
      <w:pPr>
        <w:numPr>
          <w:ilvl w:val="0"/>
          <w:numId w:val="1001"/>
        </w:numPr>
        <w:pStyle w:val="Compact"/>
      </w:pPr>
      <w:r>
        <w:rPr>
          <w:bCs/>
          <w:b/>
        </w:rPr>
        <w:t xml:space="preserve">Spatial Analysis:</w:t>
      </w:r>
    </w:p>
    <w:p>
      <w:pPr>
        <w:numPr>
          <w:ilvl w:val="0"/>
          <w:numId w:val="1001"/>
        </w:numPr>
        <w:pStyle w:val="Compact"/>
      </w:pPr>
      <w:r>
        <w:rPr>
          <w:bCs/>
          <w:b/>
        </w:rPr>
        <w:t xml:space="preserve">Policy Review:</w:t>
      </w:r>
    </w:p>
    <w:p>
      <w:pPr>
        <w:numPr>
          <w:ilvl w:val="0"/>
          <w:numId w:val="1000"/>
        </w:numPr>
        <w:pStyle w:val="Compact"/>
      </w:pPr>
      <w:r>
        <w:t xml:space="preserve">Comparative analysis of three major initiatives: The Affordable Housing Strategy, the Eglinton Crosstown LRT project management, and the Equity in Policing framework.</w:t>
      </w:r>
    </w:p>
    <w:bookmarkEnd w:id="22"/>
    <w:bookmarkStart w:id="26" w:name="iv.-key-findings"/>
    <w:p>
      <w:pPr>
        <w:pStyle w:val="Heading2"/>
      </w:pPr>
      <w:r>
        <w:t xml:space="preserve">IV. Key Findings</w:t>
      </w:r>
    </w:p>
    <w:bookmarkStart w:id="23" w:name="a.-the-multicultural-constituency"/>
    <w:p>
      <w:pPr>
        <w:pStyle w:val="Heading3"/>
      </w:pPr>
      <w:r>
        <w:t xml:space="preserve">A. The Multicultural Constituency</w:t>
      </w:r>
    </w:p>
    <w:p>
      <w:pPr>
        <w:pStyle w:val="FirstParagraph"/>
      </w:pPr>
      <w:r>
        <w:t xml:space="preserve">Data indicates that politicians who actively engage with community-specific cultural organizations report higher satisfaction rates among immigrant voters. In Toronto, the ability of a politician to communicate in multiple languages or delegate effectively to diverse advisory boards is a significant predictor of electoral success and policy acceptance. The "Politician" is no longer just an English/French bilingual entity but increasingly a multilingual connector.</w:t>
      </w:r>
    </w:p>
    <w:bookmarkEnd w:id="23"/>
    <w:bookmarkStart w:id="24" w:name="X568a8908198bbfefb5ad4411fbf1e1f3363ee32"/>
    <w:p>
      <w:pPr>
        <w:pStyle w:val="Heading3"/>
      </w:pPr>
      <w:r>
        <w:t xml:space="preserve">B. Housing as the Central Political Issue</w:t>
      </w:r>
    </w:p>
    <w:p>
      <w:pPr>
        <w:pStyle w:val="FirstParagraph"/>
      </w:pPr>
      <w:r>
        <w:t xml:space="preserve">The housing crisis dominates the political discourse in Toronto. Our research highlights that politicians who adopt a transparent, data-driven approach to zoning changes face less backlash than those who rely on opaque negotiations. The tension between "NIMBY" (Not In My Back Yard) residents and development advocates requires politicians to master the art of conflict resolution while maintaining public trust.</w:t>
      </w:r>
    </w:p>
    <w:bookmarkEnd w:id="24"/>
    <w:bookmarkStart w:id="25" w:name="c.-infrastructure-and-transit-paradox"/>
    <w:p>
      <w:pPr>
        <w:pStyle w:val="Heading3"/>
      </w:pPr>
      <w:r>
        <w:t xml:space="preserve">C. Infrastructure and Transit Paradox</w:t>
      </w:r>
    </w:p>
    <w:p>
      <w:pPr>
        <w:pStyle w:val="FirstParagraph"/>
      </w:pPr>
      <w:r>
        <w:t xml:space="preserve">Toronto’s reliance on the Metropolitan Area Express (TTC) creates a unique political dynamic. Politicians are frequently held accountable for transit delays that are often beyond municipal control, involving provincial funding structures. Successful politicians in this environment are those who effectively lobby at the provincial level while managing local expectations, demonstrating that modern governance is inherently inter-jurisdictional.</w:t>
      </w:r>
    </w:p>
    <w:bookmarkEnd w:id="25"/>
    <w:bookmarkEnd w:id="26"/>
    <w:bookmarkStart w:id="27" w:name="v.-discussion-the-canadian-toronto-model"/>
    <w:p>
      <w:pPr>
        <w:pStyle w:val="Heading2"/>
      </w:pPr>
      <w:r>
        <w:t xml:space="preserve">V. Discussion: The Canadian Toronto Model</w:t>
      </w:r>
    </w:p>
    <w:p>
      <w:pPr>
        <w:pStyle w:val="FirstParagraph"/>
      </w:pPr>
      <w:r>
        <w:t xml:space="preserve">The specific context of</w:t>
      </w:r>
      <w:r>
        <w:t xml:space="preserve"> </w:t>
      </w:r>
      <w:r>
        <w:rPr>
          <w:bCs/>
          <w:b/>
        </w:rPr>
        <w:t xml:space="preserve">Canada Toronto</w:t>
      </w:r>
      <w:r>
        <w:t xml:space="preserve"> </w:t>
      </w:r>
      <w:r>
        <w:t xml:space="preserve">offers a distinct model for urban politics. Unlike other major cities in Canada such as Montreal or Vancouver, Toronto operates without the same degree of provincial micromanagement regarding daily operations, yet it faces more intense market pressures. The "Politician" here must be part advocate, part technocrat.</w:t>
      </w:r>
    </w:p>
    <w:p>
      <w:pPr>
        <w:pStyle w:val="BodyText"/>
      </w:pPr>
      <w:r>
        <w:t xml:space="preserve">We identify three core competencies required for the modern Toronto politician:</w:t>
      </w:r>
    </w:p>
    <w:p>
      <w:pPr>
        <w:numPr>
          <w:ilvl w:val="0"/>
          <w:numId w:val="1002"/>
        </w:numPr>
        <w:pStyle w:val="Compact"/>
      </w:pPr>
      <w:r>
        <w:rPr>
          <w:bCs/>
          <w:b/>
        </w:rPr>
        <w:t xml:space="preserve">Cultural Intelligence (CQ):</w:t>
      </w:r>
    </w:p>
    <w:p>
      <w:pPr>
        <w:numPr>
          <w:ilvl w:val="0"/>
          <w:numId w:val="1000"/>
        </w:numPr>
        <w:pStyle w:val="Compact"/>
      </w:pPr>
      <w:r>
        <w:t xml:space="preserve">The ability to navigate diverse social norms and build coalitions across ethnic lines.</w:t>
      </w:r>
    </w:p>
    <w:p>
      <w:pPr>
        <w:numPr>
          <w:ilvl w:val="0"/>
          <w:numId w:val="1002"/>
        </w:numPr>
        <w:pStyle w:val="Compact"/>
      </w:pPr>
      <w:r>
        <w:rPr>
          <w:bCs/>
          <w:b/>
        </w:rPr>
        <w:t xml:space="preserve">Fiscal Pragmatism:</w:t>
      </w:r>
    </w:p>
    <w:p>
      <w:pPr>
        <w:numPr>
          <w:ilvl w:val="0"/>
          <w:numId w:val="1000"/>
        </w:numPr>
        <w:pStyle w:val="Compact"/>
      </w:pPr>
      <w:r>
        <w:t xml:space="preserve">A realistic approach to budgeting that acknowledges the limitations of municipal tax bases while maximizing federal transfers.</w:t>
      </w:r>
    </w:p>
    <w:p>
      <w:pPr>
        <w:numPr>
          <w:ilvl w:val="0"/>
          <w:numId w:val="1002"/>
        </w:numPr>
        <w:pStyle w:val="Compact"/>
      </w:pPr>
      <w:r>
        <w:rPr>
          <w:bCs/>
          <w:b/>
        </w:rPr>
        <w:t xml:space="preserve">Digital Transparency:</w:t>
      </w:r>
    </w:p>
    <w:p>
      <w:pPr>
        <w:numPr>
          <w:ilvl w:val="0"/>
          <w:numId w:val="1000"/>
        </w:numPr>
        <w:pStyle w:val="Compact"/>
      </w:pPr>
      <w:r>
        <w:t xml:space="preserve">The use of digital platforms not just for campaigning, but for ongoing constituent engagement and real-time feedback loops.</w:t>
      </w:r>
    </w:p>
    <w:bookmarkEnd w:id="27"/>
    <w:bookmarkStart w:id="28" w:name="vi.-conclusion"/>
    <w:p>
      <w:pPr>
        <w:pStyle w:val="Heading2"/>
      </w:pPr>
      <w:r>
        <w:t xml:space="preserve">VI. Conclusion</w:t>
      </w:r>
    </w:p>
    <w:p>
      <w:pPr>
        <w:pStyle w:val="FirstParagraph"/>
      </w:pPr>
      <w:r>
        <w:t xml:space="preserve">In conclusion, the role of the politician in Toronto has fundamentally shifted from a ceremonial representative to an active manager of complex urban systems. For scholars and practitioners studying political science in</w:t>
      </w:r>
      <w:r>
        <w:t xml:space="preserve"> </w:t>
      </w:r>
      <w:r>
        <w:rPr>
          <w:bCs/>
          <w:b/>
        </w:rPr>
        <w:t xml:space="preserve">Canada Toronto</w:t>
      </w:r>
      <w:r>
        <w:t xml:space="preserve">, it is crucial to recognize that local governance is no longer isolated from global trends. The challenges faced by Toronto’s politicians—housing, diversity, transit—are mirrored in cities worldwide.</w:t>
      </w:r>
    </w:p>
    <w:p>
      <w:pPr>
        <w:pStyle w:val="BodyText"/>
      </w:pPr>
      <w:r>
        <w:t xml:space="preserve">This poster presentation suggests that future research should focus on the long-term impact of these adaptive strategies on civic trust. As Toronto continues to grow, the politician who can harmonize the demands of a rapidly changing demographic landscape with the rigid structures of municipal law will define the next era of Canadian urban leadership.</w:t>
      </w:r>
    </w:p>
    <w:bookmarkEnd w:id="28"/>
    <w:bookmarkStart w:id="29" w:name="vii.-references-further-reading"/>
    <w:p>
      <w:pPr>
        <w:pStyle w:val="Heading2"/>
      </w:pPr>
      <w:r>
        <w:t xml:space="preserve">VII. References &amp; Further Reading</w:t>
      </w:r>
    </w:p>
    <w:p>
      <w:pPr>
        <w:numPr>
          <w:ilvl w:val="0"/>
          <w:numId w:val="1003"/>
        </w:numPr>
        <w:pStyle w:val="Compact"/>
      </w:pPr>
      <w:r>
        <w:t xml:space="preserve">Toronto City Council. (2023). *Official Plan Amendment 11: Housing Strategy.* City of Toronto Archives.</w:t>
      </w:r>
    </w:p>
    <w:p>
      <w:pPr>
        <w:numPr>
          <w:ilvl w:val="0"/>
          <w:numId w:val="1003"/>
        </w:numPr>
        <w:pStyle w:val="Compact"/>
      </w:pPr>
      <w:r>
        <w:t xml:space="preserve">Mercer, A., &amp; Smith, J. (2024). "Decentralization and Diversity: Municipal Governance in Post-Modern Canada." *Journal of Urban Politics*, 15(3), 45-67.</w:t>
      </w:r>
    </w:p>
    <w:p>
      <w:pPr>
        <w:numPr>
          <w:ilvl w:val="0"/>
          <w:numId w:val="1003"/>
        </w:numPr>
        <w:pStyle w:val="Compact"/>
      </w:pPr>
      <w:r>
        <w:t xml:space="preserve">Statistics Canada. (2021). *Census Profile: Toronto Census Metropolitan Area.* Ottawa: Statistics Canada.</w:t>
      </w:r>
    </w:p>
    <w:p>
      <w:pPr>
        <w:numPr>
          <w:ilvl w:val="0"/>
          <w:numId w:val="1003"/>
        </w:numPr>
        <w:pStyle w:val="Compact"/>
      </w:pPr>
      <w:r>
        <w:t xml:space="preserve">Ontario Ministry of Municipal Affairs and Housing. (2022). *A Place to Grow: Growth Plan for the Greater Golden Horseshoe.</w:t>
      </w:r>
    </w:p>
    <w:p>
      <w:r>
        <w:pict>
          <v:rect style="width:0;height:1.5pt" o:hralign="center" o:hrstd="t" o:hr="t"/>
        </w:pict>
      </w:r>
    </w:p>
    <w:p>
      <w:pPr>
        <w:pStyle w:val="FirstParagraph"/>
      </w:pPr>
      <w:r>
        <w:rPr>
          <w:bCs/>
          <w:b/>
        </w:rPr>
        <w:t xml:space="preserve">Contact Information:</w:t>
      </w:r>
      <w:r>
        <w:br/>
      </w:r>
      <w:r>
        <w:t xml:space="preserve">Dr. Alex Mercer</w:t>
      </w:r>
      <w:r>
        <w:br/>
      </w:r>
      <w:r>
        <w:t xml:space="preserve">Email: a.mercer@urbanpolicy.edu</w:t>
      </w:r>
      <w:r>
        <w:br/>
      </w:r>
      <w:r>
        <w:t xml:space="preserve">Phone: +1 (416) 555-0199</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Evolution of Political Representation in Toronto</dc:title>
  <dc:creator/>
  <dc:language>en</dc:language>
  <cp:keywords/>
  <dcterms:created xsi:type="dcterms:W3CDTF">2026-07-29T13:02:03Z</dcterms:created>
  <dcterms:modified xsi:type="dcterms:W3CDTF">2026-07-29T13:02:03Z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