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Germany,</w:t>
      </w:r>
      <w:r>
        <w:t xml:space="preserve"> </w:t>
      </w:r>
      <w:r>
        <w:t xml:space="preserve">Frankfurt</w:t>
      </w:r>
    </w:p>
    <w:bookmarkStart w:id="20" w:name="X91cc0b6c9ec114a9f4ca717757f3fc5a67a43d7"/>
    <w:p>
      <w:pPr>
        <w:pStyle w:val="Heading1"/>
      </w:pPr>
      <w:r>
        <w:t xml:space="preserve">The Modern Politician: Navigating Complexity in the Global Gateway of Europe</w:t>
      </w:r>
    </w:p>
    <w:p>
      <w:pPr>
        <w:pStyle w:val="FirstParagraph"/>
      </w:pPr>
      <w:r>
        <w:rPr>
          <w:bCs/>
          <w:b/>
        </w:rPr>
        <w:t xml:space="preserve">Presentation Focus:</w:t>
      </w:r>
      <w:r>
        <w:t xml:space="preserve"> </w:t>
      </w:r>
      <w:r>
        <w:t xml:space="preserve">Academic Poster Presentation</w:t>
      </w:r>
      <w:r>
        <w:br/>
      </w:r>
      <w:r>
        <w:rPr>
          <w:bCs/>
          <w:b/>
        </w:rPr>
        <w:t xml:space="preserve">Context:</w:t>
      </w:r>
      <w:r>
        <w:t xml:space="preserve"> </w:t>
      </w:r>
      <w:r>
        <w:t xml:space="preserve">Political Science Symposium,</w:t>
      </w:r>
      <w:r>
        <w:t xml:space="preserve"> </w:t>
      </w:r>
      <w:r>
        <w:t xml:space="preserve">Germany Frankfurt</w:t>
      </w:r>
      <w:r>
        <w:br/>
      </w:r>
      <w:r>
        <w:rPr>
          <w:bCs/>
          <w:b/>
        </w:rPr>
        <w:t xml:space="preserve">Date:</w:t>
      </w:r>
      <w:r>
        <w:t xml:space="preserve"> </w:t>
      </w:r>
      <w:r>
        <w:t xml:space="preserve">October 2023</w:t>
      </w:r>
      <w:r>
        <w:br/>
      </w:r>
    </w:p>
    <w:bookmarkEnd w:id="20"/>
    <w:bookmarkStart w:id="21" w:name="abstract"/>
    <w:p>
      <w:pPr>
        <w:pStyle w:val="Heading2"/>
      </w:pPr>
      <w:r>
        <w:t xml:space="preserve">Abstract</w:t>
      </w:r>
    </w:p>
    <w:p>
      <w:pPr>
        <w:pStyle w:val="FirstParagraph"/>
      </w:pPr>
      <w:r>
        <w:t xml:space="preserve">The contemporary landscape of governance demands a re-evaluation of the role, responsibilities, and methodologies employed by the modern</w:t>
      </w:r>
      <w:r>
        <w:t xml:space="preserve"> </w:t>
      </w:r>
      <w:r>
        <w:t xml:space="preserve">Politician</w:t>
      </w:r>
      <w:r>
        <w:t xml:space="preserve">. This academic poster presentation explores the intricate dynamics of political leadership within one of Europe’s most critical economic and cultural hubs:</w:t>
      </w:r>
      <w:r>
        <w:t xml:space="preserve"> </w:t>
      </w:r>
      <w:r>
        <w:rPr>
          <w:bCs/>
          <w:b/>
        </w:rPr>
        <w:t xml:space="preserve">Germany Frankfurt</w:t>
      </w:r>
      <w:r>
        <w:t xml:space="preserve">. As Frankfurt serves as both a global financial center and a microcosm of German democratic values, it provides an ideal case study for analyzing how</w:t>
      </w:r>
      <w:r>
        <w:t xml:space="preserve"> </w:t>
      </w:r>
      <w:r>
        <w:t xml:space="preserve">politicians</w:t>
      </w:r>
      <w:r>
        <w:t xml:space="preserve"> </w:t>
      </w:r>
      <w:r>
        <w:t xml:space="preserve">must balance local civic duties with international pressures. This document outlines the theoretical framework, methodological approach, and preliminary findings regarding the evolution of political engagement in this unique metropolitan context.</w:t>
      </w:r>
    </w:p>
    <w:bookmarkEnd w:id="21"/>
    <w:bookmarkStart w:id="22" w:name="Xeed6dbe45d65635e530020be4f6392dc3e85ffe"/>
    <w:p>
      <w:pPr>
        <w:pStyle w:val="Heading3"/>
      </w:pPr>
      <w:r>
        <w:t xml:space="preserve">1. Introduction: The Unique Context of Germany Frankfurt</w:t>
      </w:r>
    </w:p>
    <w:p>
      <w:pPr>
        <w:pStyle w:val="FirstParagraph"/>
      </w:pPr>
      <w:r>
        <w:t xml:space="preserve">The city of</w:t>
      </w:r>
      <w:r>
        <w:t xml:space="preserve"> </w:t>
      </w:r>
      <w:r>
        <w:rPr>
          <w:bCs/>
          <w:b/>
        </w:rPr>
        <w:t xml:space="preserve">Germany Frankfurt</w:t>
      </w:r>
      <w:r>
        <w:t xml:space="preserve">, often referred to as "Mainhattan," stands at the intersection of tradition and modernity, local governance and global finance. For the academic study of political science, Frankfurt offers a distinct environment where the archetype of the</w:t>
      </w:r>
      <w:r>
        <w:t xml:space="preserve"> </w:t>
      </w:r>
      <w:r>
        <w:t xml:space="preserve">Politician</w:t>
      </w:r>
      <w:r>
        <w:t xml:space="preserve"> </w:t>
      </w:r>
      <w:r>
        <w:t xml:space="preserve">is tested against rapid urbanization, diverse demographic shifts, and intense economic scrutiny. Unlike smaller towns or rural districts in Germany, Frankfurt presents a high-stakes arena where policy decisions have immediate ripple effects across international markets and local communities alike.</w:t>
      </w:r>
    </w:p>
    <w:p>
      <w:pPr>
        <w:pStyle w:val="BodyText"/>
      </w:pPr>
      <w:r>
        <w:t xml:space="preserve">In this context, the</w:t>
      </w:r>
      <w:r>
        <w:t xml:space="preserve"> </w:t>
      </w:r>
      <w:r>
        <w:t xml:space="preserve">Politician</w:t>
      </w:r>
      <w:r>
        <w:t xml:space="preserve"> </w:t>
      </w:r>
      <w:r>
        <w:t xml:space="preserve">is not merely a legislator but a mediator between disparate interest groups. The traditional model of party-political loyalty is increasingly being challenged by direct democracy initiatives and digital activism. This presentation argues that the modern</w:t>
      </w:r>
      <w:r>
        <w:t xml:space="preserve"> </w:t>
      </w:r>
      <w:r>
        <w:t xml:space="preserve">Politician</w:t>
      </w:r>
      <w:r>
        <w:t xml:space="preserve"> </w:t>
      </w:r>
      <w:r>
        <w:t xml:space="preserve">in Frankfurt must adopt a hybrid approach, combining rigorous policy analysis with agile communication strategies to maintain public trust.</w:t>
      </w:r>
    </w:p>
    <w:bookmarkEnd w:id="22"/>
    <w:bookmarkStart w:id="23" w:name="X667ecc484201599d496c5deb1050e034adbd06f"/>
    <w:p>
      <w:pPr>
        <w:pStyle w:val="Heading3"/>
      </w:pPr>
      <w:r>
        <w:t xml:space="preserve">2. Theoretical Framework: Redefining Political Agency</w:t>
      </w:r>
    </w:p>
    <w:p>
      <w:pPr>
        <w:pStyle w:val="FirstParagraph"/>
      </w:pPr>
      <w:r>
        <w:t xml:space="preserve">To understand the role of the</w:t>
      </w:r>
      <w:r>
        <w:t xml:space="preserve"> </w:t>
      </w:r>
      <w:r>
        <w:t xml:space="preserve">Politician</w:t>
      </w:r>
      <w:r>
        <w:t xml:space="preserve"> </w:t>
      </w:r>
      <w:r>
        <w:t xml:space="preserve">in this setting, we utilize a theoretical framework that integrates Habermasian public sphere theory with contemporary network governance models. Jürgen Habermas’s concepts are particularly relevant to Frankfurt, given his deep historical ties to the city and its intellectual heritage.</w:t>
      </w:r>
    </w:p>
    <w:p>
      <w:pPr>
        <w:pStyle w:val="BodyText"/>
      </w:pPr>
      <w:r>
        <w:t xml:space="preserve">In traditional political science literature, the</w:t>
      </w:r>
      <w:r>
        <w:t xml:space="preserve"> </w:t>
      </w:r>
      <w:r>
        <w:t xml:space="preserve">Politician</w:t>
      </w:r>
      <w:r>
        <w:t xml:space="preserve"> </w:t>
      </w:r>
      <w:r>
        <w:t xml:space="preserve">is often viewed through a Weberian lens of authority and bureaucracy. However, in the digital age, authority is decentralized. The</w:t>
      </w:r>
      <w:r>
        <w:t xml:space="preserve"> </w:t>
      </w:r>
      <w:r>
        <w:t xml:space="preserve">Politician</w:t>
      </w:r>
      <w:r>
        <w:t xml:space="preserve"> </w:t>
      </w:r>
      <w:r>
        <w:t xml:space="preserve">must now navigate a landscape where influence is derived not only from elected office but also from social media presence, coalition-building among NGOs, and responsiveness to citizen-generated data.</w:t>
      </w:r>
    </w:p>
    <w:p>
      <w:pPr>
        <w:pStyle w:val="BodyText"/>
      </w:pPr>
      <w:r>
        <w:t xml:space="preserve">This framework suggests that the success of any</w:t>
      </w:r>
      <w:r>
        <w:t xml:space="preserve"> </w:t>
      </w:r>
      <w:r>
        <w:t xml:space="preserve">Politician</w:t>
      </w:r>
      <w:r>
        <w:t xml:space="preserve"> </w:t>
      </w:r>
      <w:r>
        <w:t xml:space="preserve">in</w:t>
      </w:r>
      <w:r>
        <w:t xml:space="preserve"> </w:t>
      </w:r>
      <w:r>
        <w:rPr>
          <w:bCs/>
          <w:b/>
        </w:rPr>
        <w:t xml:space="preserve">Germany Frankfurt</w:t>
      </w:r>
      <w:r>
        <w:t xml:space="preserve"> </w:t>
      </w:r>
      <w:r>
        <w:t xml:space="preserve">is contingent upon their ability to facilitate dialogue rather than simply dictate policy. The complexity of issues such as housing shortages, climate change mitigation, and digital infrastructure requires a collaborative governance model.</w:t>
      </w:r>
    </w:p>
    <w:bookmarkEnd w:id="23"/>
    <w:bookmarkStart w:id="24" w:name="methodology-mixed-methods-approach"/>
    <w:p>
      <w:pPr>
        <w:pStyle w:val="Heading3"/>
      </w:pPr>
      <w:r>
        <w:t xml:space="preserve">3. Methodology: Mixed-Methods Approach</w:t>
      </w:r>
    </w:p>
    <w:p>
      <w:pPr>
        <w:pStyle w:val="FirstParagraph"/>
      </w:pPr>
      <w:r>
        <w:t xml:space="preserve">This academic poster presentation is based on a mixed-methods research design, combining quantitative analysis of voting patterns in Frankfurt with qualitative interviews conducted with local stakeholders.</w:t>
      </w:r>
    </w:p>
    <w:p>
      <w:pPr>
        <w:numPr>
          <w:ilvl w:val="0"/>
          <w:numId w:val="1001"/>
        </w:numPr>
        <w:pStyle w:val="Compact"/>
      </w:pPr>
      <w:r>
        <w:rPr>
          <w:bCs/>
          <w:b/>
        </w:rPr>
        <w:t xml:space="preserve">Quantitative Analysis:</w:t>
      </w:r>
      <w:r>
        <w:t xml:space="preserve"> </w:t>
      </w:r>
      <w:r>
        <w:t xml:space="preserve">Data was collected from the last three municipal elections in</w:t>
      </w:r>
      <w:r>
        <w:t xml:space="preserve"> </w:t>
      </w:r>
      <w:r>
        <w:rPr>
          <w:bCs/>
          <w:b/>
        </w:rPr>
        <w:t xml:space="preserve">Germany Frankfurt</w:t>
      </w:r>
      <w:r>
        <w:t xml:space="preserve">, analyzing turnout rates, party shifts, and demographic correlations. This data helps identify the changing electorate and their expectations of their</w:t>
      </w:r>
      <w:r>
        <w:t xml:space="preserve"> </w:t>
      </w:r>
      <w:r>
        <w:t xml:space="preserve">Politicians</w:t>
      </w:r>
      <w:r>
        <w:t xml:space="preserve">.</w:t>
      </w:r>
    </w:p>
    <w:p>
      <w:pPr>
        <w:numPr>
          <w:ilvl w:val="0"/>
          <w:numId w:val="1001"/>
        </w:numPr>
        <w:pStyle w:val="Compact"/>
      </w:pPr>
      <w:r>
        <w:rPr>
          <w:bCs/>
          <w:b/>
        </w:rPr>
        <w:t xml:space="preserve">Qualitative Interviews:</w:t>
      </w:r>
      <w:r>
        <w:t xml:space="preserve"> </w:t>
      </w:r>
      <w:r>
        <w:t xml:space="preserve">Semi-structured interviews were conducted with 20 key figures, including city council members, local activists, and business leaders. These interviews provide insight into the daily challenges faced by the</w:t>
      </w:r>
      <w:r>
        <w:t xml:space="preserve"> </w:t>
      </w:r>
      <w:r>
        <w:t xml:space="preserve">Politician</w:t>
      </w:r>
      <w:r>
        <w:t xml:space="preserve"> </w:t>
      </w:r>
      <w:r>
        <w:t xml:space="preserve">in balancing conflicting interests.</w:t>
      </w:r>
    </w:p>
    <w:p>
      <w:pPr>
        <w:numPr>
          <w:ilvl w:val="0"/>
          <w:numId w:val="1001"/>
        </w:numPr>
        <w:pStyle w:val="Compact"/>
      </w:pPr>
      <w:r>
        <w:rPr>
          <w:bCs/>
          <w:b/>
        </w:rPr>
        <w:t xml:space="preserve">Digital Ethnography:</w:t>
      </w:r>
      <w:r>
        <w:t xml:space="preserve"> </w:t>
      </w:r>
      <w:r>
        <w:t xml:space="preserve">An analysis of social media discourse surrounding prominent political figures in Frankfurt was conducted to understand public sentiment and the speed at which political narratives are formed or dismantled.</w:t>
      </w:r>
    </w:p>
    <w:bookmarkEnd w:id="24"/>
    <w:bookmarkStart w:id="25" w:name="key-findings-the-fragmented-mandate"/>
    <w:p>
      <w:pPr>
        <w:pStyle w:val="Heading3"/>
      </w:pPr>
      <w:r>
        <w:t xml:space="preserve">4. Key Findings: The Fragmented Mandate</w:t>
      </w:r>
    </w:p>
    <w:p>
      <w:pPr>
        <w:pStyle w:val="FirstParagraph"/>
      </w:pPr>
      <w:r>
        <w:t xml:space="preserve">The research reveals several critical insights regarding the role of the</w:t>
      </w:r>
      <w:r>
        <w:t xml:space="preserve"> </w:t>
      </w:r>
      <w:r>
        <w:t xml:space="preserve">Politician</w:t>
      </w:r>
      <w:r>
        <w:t xml:space="preserve"> </w:t>
      </w:r>
      <w:r>
        <w:t xml:space="preserve">in</w:t>
      </w:r>
      <w:r>
        <w:t xml:space="preserve"> </w:t>
      </w:r>
      <w:r>
        <w:rPr>
          <w:bCs/>
          <w:b/>
        </w:rPr>
        <w:t xml:space="preserve">Germany Frankfurt</w:t>
      </w:r>
      <w:r>
        <w:t xml:space="preserve">:</w:t>
      </w:r>
    </w:p>
    <w:p>
      <w:pPr>
        <w:numPr>
          <w:ilvl w:val="0"/>
          <w:numId w:val="1002"/>
        </w:numPr>
        <w:pStyle w:val="Compact"/>
      </w:pPr>
      <w:r>
        <w:rPr>
          <w:bCs/>
          <w:b/>
        </w:rPr>
        <w:t xml:space="preserve">Erosion of Traditional Party Loyalty:</w:t>
      </w:r>
      <w:r>
        <w:t xml:space="preserve"> </w:t>
      </w:r>
      <w:r>
        <w:t xml:space="preserve">Voters in Frankfurt are increasingly volatile. The</w:t>
      </w:r>
      <w:r>
        <w:t xml:space="preserve"> </w:t>
      </w:r>
      <w:r>
        <w:t xml:space="preserve">Politician</w:t>
      </w:r>
      <w:r>
        <w:t xml:space="preserve"> </w:t>
      </w:r>
      <w:r>
        <w:t xml:space="preserve">can no longer rely on decades-long party affiliations. Instead, they must build issue-based coalitions that transcend traditional left-right divides.</w:t>
      </w:r>
    </w:p>
    <w:p>
      <w:pPr>
        <w:numPr>
          <w:ilvl w:val="0"/>
          <w:numId w:val="1002"/>
        </w:numPr>
        <w:pStyle w:val="Compact"/>
      </w:pPr>
      <w:r>
        <w:rPr>
          <w:bCs/>
          <w:b/>
        </w:rPr>
        <w:t xml:space="preserve">The Demand for Transparency:</w:t>
      </w:r>
      <w:r>
        <w:t xml:space="preserve"> </w:t>
      </w:r>
      <w:r>
        <w:t xml:space="preserve">There is a significant correlation between perceived transparency and voter satisfaction. Scandals or perceived opacity lead to rapid declines in support for the</w:t>
      </w:r>
      <w:r>
        <w:t xml:space="preserve"> </w:t>
      </w:r>
      <w:r>
        <w:t xml:space="preserve">Politician</w:t>
      </w:r>
      <w:r>
        <w:t xml:space="preserve">. This demands a new standard of accountability unique to the global media spotlight on Frankfurt.</w:t>
      </w:r>
    </w:p>
    <w:p>
      <w:pPr>
        <w:numPr>
          <w:ilvl w:val="0"/>
          <w:numId w:val="1002"/>
        </w:numPr>
        <w:pStyle w:val="Compact"/>
      </w:pPr>
      <w:r>
        <w:rPr>
          <w:bCs/>
          <w:b/>
        </w:rPr>
        <w:t xml:space="preserve">Global-Local Tension:</w:t>
      </w:r>
      <w:r>
        <w:t xml:space="preserve"> </w:t>
      </w:r>
      <w:r>
        <w:t xml:space="preserve">The</w:t>
      </w:r>
      <w:r>
        <w:t xml:space="preserve"> </w:t>
      </w:r>
      <w:r>
        <w:t xml:space="preserve">Politician</w:t>
      </w:r>
      <w:r>
        <w:t xml:space="preserve"> </w:t>
      </w:r>
      <w:r>
        <w:t xml:space="preserve">must constantly negotiate between global financial pressures and local social welfare needs. For instance, policies favoring international banks often clash with housing rights advocates, placing the</w:t>
      </w:r>
      <w:r>
        <w:t xml:space="preserve"> </w:t>
      </w:r>
      <w:r>
        <w:t xml:space="preserve">Politician</w:t>
      </w:r>
      <w:r>
        <w:t xml:space="preserve"> </w:t>
      </w:r>
      <w:r>
        <w:t xml:space="preserve">in a difficult mediating role.</w:t>
      </w:r>
    </w:p>
    <w:bookmarkEnd w:id="25"/>
    <w:bookmarkStart w:id="26" w:name="implications-for-democratic-practice"/>
    <w:p>
      <w:pPr>
        <w:pStyle w:val="Heading3"/>
      </w:pPr>
      <w:r>
        <w:t xml:space="preserve">5. Implications for Democratic Practice</w:t>
      </w:r>
    </w:p>
    <w:p>
      <w:pPr>
        <w:pStyle w:val="FirstParagraph"/>
      </w:pPr>
      <w:r>
        <w:t xml:space="preserve">The evolving role of the</w:t>
      </w:r>
      <w:r>
        <w:t xml:space="preserve"> </w:t>
      </w:r>
      <w:r>
        <w:t xml:space="preserve">Politician</w:t>
      </w:r>
      <w:r>
        <w:t xml:space="preserve"> </w:t>
      </w:r>
      <w:r>
        <w:t xml:space="preserve">in</w:t>
      </w:r>
      <w:r>
        <w:t xml:space="preserve"> </w:t>
      </w:r>
      <w:r>
        <w:rPr>
          <w:bCs/>
          <w:b/>
        </w:rPr>
        <w:t xml:space="preserve">Germany Frankfurt</w:t>
      </w:r>
      <w:r>
        <w:t xml:space="preserve"> </w:t>
      </w:r>
      <w:r>
        <w:t xml:space="preserve">has broader implications for democratic practice across Europe. It suggests that future political education must include digital literacy, crisis management, and cross-sector collaboration skills.</w:t>
      </w:r>
    </w:p>
    <w:p>
      <w:pPr>
        <w:pStyle w:val="BodyText"/>
      </w:pPr>
      <w:r>
        <w:t xml:space="preserve">Politician is no longer just a representative but a project manager of social cohesion in an increasingly fragmented world.</w:t>
      </w:r>
    </w:p>
    <w:bookmarkEnd w:id="26"/>
    <w:bookmarkStart w:id="27" w:name="conclusion-and-future-directions"/>
    <w:p>
      <w:pPr>
        <w:pStyle w:val="Heading3"/>
      </w:pPr>
      <w:r>
        <w:t xml:space="preserve">6. Conclusion and Future Directions</w:t>
      </w:r>
    </w:p>
    <w:p>
      <w:pPr>
        <w:pStyle w:val="FirstParagraph"/>
      </w:pPr>
      <w:r>
        <w:t xml:space="preserve">In conclusion, this academic poster presentation highlights the profound transformation of the</w:t>
      </w:r>
      <w:r>
        <w:t xml:space="preserve"> </w:t>
      </w:r>
      <w:r>
        <w:t xml:space="preserve">Politician</w:t>
      </w:r>
      <w:r>
        <w:t xml:space="preserve"> </w:t>
      </w:r>
      <w:r>
        <w:t xml:space="preserve">in the specific context of</w:t>
      </w:r>
      <w:r>
        <w:t xml:space="preserve"> </w:t>
      </w:r>
      <w:r>
        <w:rPr>
          <w:bCs/>
          <w:b/>
        </w:rPr>
        <w:t xml:space="preserve">Germany Frankfurt</w:t>
      </w:r>
      <w:r>
        <w:t xml:space="preserve">. The complexity of this global hub requires a sophisticated, adaptive, and transparent approach to governance. As we look to the future, it is imperative that we continue to study these dynamics to ensure that democratic institutions remain robust and responsive.</w:t>
      </w:r>
    </w:p>
    <w:p>
      <w:pPr>
        <w:pStyle w:val="BodyText"/>
      </w:pPr>
      <w:r>
        <w:t xml:space="preserve">Politician in the 21st century.</w:t>
      </w:r>
    </w:p>
    <w:bookmarkEnd w:id="27"/>
    <w:bookmarkStart w:id="28" w:name="references-and-acknowledgments"/>
    <w:p>
      <w:pPr>
        <w:pStyle w:val="Heading3"/>
      </w:pPr>
      <w:r>
        <w:t xml:space="preserve">References and Acknowledgments</w:t>
      </w:r>
    </w:p>
    <w:p>
      <w:pPr>
        <w:pStyle w:val="FirstParagraph"/>
      </w:pPr>
      <w:r>
        <w:t xml:space="preserve">This work was supported by the Department of Political Science at [University Name], with special gratitude to the civic organizations of</w:t>
      </w:r>
      <w:r>
        <w:t xml:space="preserve"> </w:t>
      </w:r>
      <w:r>
        <w:rPr>
          <w:bCs/>
          <w:b/>
        </w:rPr>
        <w:t xml:space="preserve">Germany Frankfurt</w:t>
      </w:r>
      <w:r>
        <w:t xml:space="preserve"> </w:t>
      </w:r>
      <w:r>
        <w:t xml:space="preserve">who participated in this study.</w:t>
      </w:r>
    </w:p>
    <w:p>
      <w:pPr>
        <w:pStyle w:val="BodyText"/>
      </w:pPr>
      <w:r>
        <w:rPr>
          <w:iCs/>
          <w:i/>
        </w:rPr>
        <w:t xml:space="preserve">Please contact the presenter for full access to data sets and detailed citations.</w:t>
      </w:r>
    </w:p>
    <w:bookmarkEnd w:id="28"/>
    <w:p>
      <w:pPr>
        <w:pStyle w:val="BodyText"/>
      </w:pPr>
      <w:r>
        <w:t xml:space="preserve">Academic Poster Presentation on the Modern Politician in Germany Frankfurt | © 2023 Political Science Symposium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Politician in the Context of Germany, Frankfurt</dc:title>
  <dc:creator/>
  <dc:language>en</dc:language>
  <cp:keywords/>
  <dcterms:created xsi:type="dcterms:W3CDTF">2026-07-30T09:11:00Z</dcterms:created>
  <dcterms:modified xsi:type="dcterms:W3CDTF">2026-07-30T09:11:00Z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