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Political</w:t>
      </w:r>
      <w:r>
        <w:t xml:space="preserve"> </w:t>
      </w:r>
      <w:r>
        <w:t xml:space="preserve">Dynamics</w:t>
      </w:r>
      <w:r>
        <w:t xml:space="preserve"> </w:t>
      </w:r>
      <w:r>
        <w:t xml:space="preserve">in</w:t>
      </w:r>
      <w:r>
        <w:t xml:space="preserve"> </w:t>
      </w:r>
      <w:r>
        <w:t xml:space="preserve">Manchester</w:t>
      </w:r>
    </w:p>
    <w:bookmarkStart w:id="20" w:name="X918c6855d8d53c6958c95d99c1a60b44fc53940"/>
    <w:p>
      <w:pPr>
        <w:pStyle w:val="Heading1"/>
      </w:pPr>
      <w:r>
        <w:t xml:space="preserve">The Manchester Model: A Critical Analysis of Local Politician Effectiveness and Public Trust in Post-Industrial Governance</w:t>
      </w:r>
    </w:p>
    <w:p>
      <w:pPr>
        <w:pStyle w:val="FirstParagraph"/>
      </w:pPr>
      <w:r>
        <w:rPr>
          <w:bCs/>
          <w:b/>
        </w:rPr>
        <w:t xml:space="preserve">Audience:</w:t>
      </w:r>
      <w:r>
        <w:t xml:space="preserve"> </w:t>
      </w:r>
      <w:r>
        <w:rPr>
          <w:bCs/>
          <w:b/>
        </w:rPr>
        <w:t xml:space="preserve">Presentation Type:</w:t>
      </w:r>
      <w:r>
        <w:t xml:space="preserve"> </w:t>
      </w:r>
      <w:r>
        <w:rPr>
          <w:bCs/>
          <w:b/>
        </w:rPr>
        <w:t xml:space="preserve">Date:</w:t>
      </w:r>
    </w:p>
    <w:bookmarkEnd w:id="20"/>
    <w:bookmarkStart w:id="21" w:name="section"/>
    <w:p>
      <w:pPr>
        <w:pStyle w:val="Heading2"/>
      </w:pPr>
    </w:p>
    <w:p>
      <w:pPr>
        <w:pStyle w:val="FirstParagraph"/>
      </w:pPr>
      <w:r>
        <w:t xml:space="preserve">This academic poster presentation explores the evolving role of the modern politician within the unique socio-political landscape of Manchester, United Kingdom. As a city that has undergone rapid gentrification, economic restructuring from manufacturing to digital services, and complex devolutionary shifts under the Greater Manchester Combined Authority (GMCA), understanding local political efficacy is paramount. This study investigates how politicians in Manchester navigate public trust issues that are prevalent across the UK post-2016. By analyzing survey data from 5,00 residents and conducting semi-structured interviews with seven key stakeholders including councilors and community leaders this research highlights the disconnect between traditional Westminster-style political rhetoric and the immediate needs of Greater Manchester constituents.</w:t>
      </w:r>
    </w:p>
    <w:bookmarkEnd w:id="21"/>
    <w:bookmarkStart w:id="23" w:name="background"/>
    <w:bookmarkStart w:id="22" w:name="section-1"/>
    <w:p>
      <w:pPr>
        <w:pStyle w:val="Heading2"/>
      </w:pPr>
    </w:p>
    <w:p>
      <w:pPr>
        <w:pStyle w:val="FirstParagraph"/>
      </w:pPr>
      <w:r>
        <w:t xml:space="preserve">To fully appreciate the significance of this study, one must understand the distinct identity of Manchester within the United Kingdom. Unlike London or other major British cities, Manchester operates as a powerhouse of regional devolution. The election of Mayors and Metro Mayors has introduced a new layerof political accountability that directly impacts daily life in Greater Manchester.</w:t>
      </w:r>
    </w:p>
    <w:p>
      <w:pPr>
        <w:pStyle w:val="BodyText"/>
      </w:pPr>
      <w:r>
        <w:t xml:space="preserve">However, this political innovation exists against a backdrop of national skepticism towards the "politician" archetype. Across the UK, trust in politicians has plummeted due to scandals, perceived elitism and Brexit-related divisions. In Manchester specifically the challenge is compounded by stark economic inequalities between areas like Salford and affluent suburbs like Wilmslow. Therefore, this poster argues that local politicians cannot rely on national party machinery alone; they must demonstrate tangible "boots-on-the-ground" efficacy to maintain legitimacy.</w:t>
      </w:r>
    </w:p>
    <w:bookmarkEnd w:id="22"/>
    <w:bookmarkEnd w:id="23"/>
    <w:bookmarkStart w:id="25" w:name="objectives"/>
    <w:bookmarkStart w:id="24" w:name="section-2"/>
    <w:p>
      <w:pPr>
        <w:pStyle w:val="Heading2"/>
      </w:pPr>
    </w:p>
    <w:p>
      <w:pPr>
        <w:numPr>
          <w:ilvl w:val="0"/>
          <w:numId w:val="1001"/>
        </w:numPr>
        <w:pStyle w:val="Compact"/>
      </w:pPr>
      <w:r>
        <w:rPr>
          <w:bCs/>
          <w:b/>
        </w:rPr>
        <w:t xml:space="preserve">To Evaluate Public Trust:</w:t>
      </w:r>
    </w:p>
    <w:p>
      <w:pPr>
        <w:numPr>
          <w:ilvl w:val="0"/>
          <w:numId w:val="1001"/>
        </w:numPr>
        <w:pStyle w:val="Compact"/>
      </w:pPr>
      <w:r>
        <w:rPr>
          <w:bCs/>
          <w:b/>
        </w:rPr>
        <w:t xml:space="preserve">Analyze Communication Styles:</w:t>
      </w:r>
    </w:p>
    <w:p>
      <w:pPr>
        <w:numPr>
          <w:ilvl w:val="0"/>
          <w:numId w:val="1001"/>
        </w:numPr>
        <w:pStyle w:val="Compact"/>
      </w:pPr>
      <w:r>
        <w:rPr>
          <w:bCs/>
          <w:b/>
        </w:rPr>
        <w:t xml:space="preserve">Assess Policy Impact:</w:t>
      </w:r>
    </w:p>
    <w:p>
      <w:pPr>
        <w:numPr>
          <w:ilvl w:val="0"/>
          <w:numId w:val="1001"/>
        </w:numPr>
        <w:pStyle w:val="Compact"/>
      </w:pPr>
      <w:r>
        <w:rPr>
          <w:bCs/>
          <w:b/>
        </w:rPr>
        <w:t xml:space="preserve">Propose a Framework:</w:t>
      </w:r>
    </w:p>
    <w:bookmarkEnd w:id="24"/>
    <w:bookmarkEnd w:id="25"/>
    <w:bookmarkStart w:id="29" w:name="methodology"/>
    <w:bookmarkStart w:id="28" w:name="section-3"/>
    <w:p>
      <w:pPr>
        <w:pStyle w:val="Heading2"/>
      </w:pPr>
    </w:p>
    <w:p>
      <w:pPr>
        <w:pStyle w:val="FirstParagraph"/>
      </w:pPr>
      <w:r>
        <w:t xml:space="preserve">This study utilizes a mixed-methods approach, combining quantitative survey data with qualitative ethnographic insights.</w:t>
      </w:r>
    </w:p>
    <w:bookmarkStart w:id="26" w:name="data-collection"/>
    <w:p>
      <w:pPr>
        <w:pStyle w:val="Heading3"/>
      </w:pPr>
      <w:r>
        <w:t xml:space="preserve">Data Collection</w:t>
      </w:r>
    </w:p>
    <w:p>
      <w:pPr>
        <w:numPr>
          <w:ilvl w:val="0"/>
          <w:numId w:val="1002"/>
        </w:numPr>
        <w:pStyle w:val="Compact"/>
      </w:pPr>
      <w:r>
        <w:rPr>
          <w:bCs/>
          <w:b/>
        </w:rPr>
        <w:t xml:space="preserve">Digital Surveys:</w:t>
      </w:r>
    </w:p>
    <w:p>
      <w:pPr>
        <w:numPr>
          <w:ilvl w:val="0"/>
          <w:numId w:val="1002"/>
        </w:numPr>
        <w:pStyle w:val="Compact"/>
      </w:pPr>
      <w:r>
        <w:t xml:space="preserve">Semi-Structured Interviews:</w:t>
      </w:r>
    </w:p>
    <w:p>
      <w:pPr>
        <w:numPr>
          <w:ilvl w:val="0"/>
          <w:numId w:val="1000"/>
        </w:numPr>
        <w:pStyle w:val="Compact"/>
      </w:pPr>
      <w:r>
        <w:t xml:space="preserve">Conducted with 7 key political figures including members of the Greater Manchester Combined Authority and ward councilors. These interviews focused on their perceived challenges in representing a divided electorate.</w:t>
      </w:r>
    </w:p>
    <w:bookmarkEnd w:id="26"/>
    <w:bookmarkStart w:id="27" w:name="data-analysis"/>
    <w:p>
      <w:pPr>
        <w:pStyle w:val="Heading3"/>
      </w:pPr>
      <w:r>
        <w:t xml:space="preserve">Data Analysis</w:t>
      </w:r>
    </w:p>
    <w:p>
      <w:pPr>
        <w:pStyle w:val="FirstParagraph"/>
      </w:pPr>
      <w:r>
        <w:t xml:space="preserve">The quantitative data was analyzed using SPSS to identify correlations between demographic variables (age, income, ethnicity) and trust levels. Qualitative transcripts were coded using NVivo to identify recurring themes in the narratives of both politicians and citizens.</w:t>
      </w:r>
    </w:p>
    <w:bookmarkEnd w:id="27"/>
    <w:bookmarkEnd w:id="28"/>
    <w:bookmarkEnd w:id="29"/>
    <w:bookmarkStart w:id="31" w:name="results"/>
    <w:bookmarkStart w:id="30" w:name="section-4"/>
    <w:p>
      <w:pPr>
        <w:pStyle w:val="Heading2"/>
      </w:pPr>
    </w:p>
    <w:p>
      <w:pPr>
        <w:pStyle w:val="FirstParagraph"/>
      </w:pPr>
      <w:r>
        <w:rPr>
          <w:bCs/>
          <w:b/>
        </w:rPr>
        <w:t xml:space="preserve">Finding A: The Proximity Principle</w:t>
      </w:r>
    </w:p>
    <w:p>
      <w:pPr>
        <w:pStyle w:val="BodyText"/>
      </w:pPr>
      <w:r>
        <w:t xml:space="preserve">The data reveals a significant "Proximity Effect." Manchester residents trust their local ward councillor significantly more than they trust the national MP, provided the councillor is actively visible in the community. However, this trust evaporates if visibility drops during election cycles.</w:t>
      </w:r>
    </w:p>
    <w:p>
      <w:pPr>
        <w:pStyle w:val="BodyText"/>
      </w:pPr>
      <w:r>
        <w:rPr>
          <w:bCs/>
          <w:b/>
        </w:rPr>
        <w:t xml:space="preserve">Finding B: Economic Anxiety as a Driver of Disengagement</w:t>
      </w:r>
    </w:p>
    <w:p>
      <w:pPr>
        <w:pStyle w:val="BodyText"/>
      </w:pPr>
      <w:r>
        <w:t xml:space="preserve">A strong correlation was found between household economic insecurity and political disengagement. In areas like Moss Side and Longsight, where cost-of-living pressures are acute, politician-led initiatives focused solely on cultural events were viewed with skepticism by residents prioritizing basic survival needs.</w:t>
      </w:r>
    </w:p>
    <w:p>
      <w:pPr>
        <w:pStyle w:val="BodyText"/>
      </w:pPr>
      <w:r>
        <w:rPr>
          <w:bCs/>
          <w:b/>
        </w:rPr>
        <w:t xml:space="preserve">Finding C: The Role of Digital Media</w:t>
      </w:r>
    </w:p>
    <w:p>
      <w:pPr>
        <w:pStyle w:val="BodyText"/>
      </w:pPr>
      <w:r>
        <w:t xml:space="preserve">The younger demographic (18-35) in Manchester shows a preference for Instagram and TikTok engagement by politicians. Traditional town hall meetings are perceived as outdated and exclusionary by this group, leading to a generational gap in political representation within Greater Manchester.</w:t>
      </w:r>
    </w:p>
    <w:bookmarkEnd w:id="30"/>
    <w:bookmarkEnd w:id="31"/>
    <w:bookmarkStart w:id="33" w:name="discussion"/>
    <w:bookmarkStart w:id="32" w:name="section-5"/>
    <w:p>
      <w:pPr>
        <w:pStyle w:val="Heading2"/>
      </w:pPr>
    </w:p>
    <w:p>
      <w:pPr>
        <w:pStyle w:val="FirstParagraph"/>
      </w:pPr>
      <w:r>
        <w:t xml:space="preserve">The findings from this poster presentation suggest that the traditional concept of the politician as a distant decision-maker is obsolete in Manchester. The unique history of Manchester, rooted in radicalism and labor movement traditions, demands a politician who embodies transparency and collaborative governance.</w:t>
      </w:r>
    </w:p>
    <w:p>
      <w:pPr>
        <w:pStyle w:val="BodyText"/>
      </w:pPr>
      <w:r>
        <w:t xml:space="preserve">We argue that for politicians to regain trust, they must transition from being "representatives" to being "facilitators." This means actively involving citizens in budgetary decisions (participatory budgeting), which has shown success in pilot projects within Manchester City Council. Furthermore, the devolutionary powers granted to Greater Manchester allow for more agile policy responses than national Westminster can provide, but only if the politician leverages these powers effectively to deliver visible improvements.</w:t>
      </w:r>
    </w:p>
    <w:p>
      <w:pPr>
        <w:pStyle w:val="BodyText"/>
      </w:pPr>
      <w:r>
        <w:t xml:space="preserve">Moreover, this study highlights a critical disconnect in how "Politician" is perceived linguistically. In focus groups, respondents associated the word "politician" with deceit and empty promises. However when asked about their local councilor who they knew personally by name they used words like "helpful," "accessible," and "responsive." This linguistic shift suggests that branding matters, but more importantly authentic relationship building is key.</w:t>
      </w:r>
    </w:p>
    <w:bookmarkEnd w:id="32"/>
    <w:bookmarkEnd w:id="33"/>
    <w:bookmarkStart w:id="35" w:name="implications"/>
    <w:bookmarkStart w:id="34" w:name="section-6"/>
    <w:p>
      <w:pPr>
        <w:pStyle w:val="Heading2"/>
      </w:pPr>
    </w:p>
    <w:p>
      <w:pPr>
        <w:numPr>
          <w:ilvl w:val="0"/>
          <w:numId w:val="1003"/>
        </w:numPr>
        <w:pStyle w:val="Compact"/>
      </w:pPr>
      <w:r>
        <w:rPr>
          <w:bCs/>
          <w:b/>
        </w:rPr>
        <w:t xml:space="preserve">Mandatory Accessibility Standards:</w:t>
      </w:r>
    </w:p>
    <w:p>
      <w:pPr>
        <w:numPr>
          <w:ilvl w:val="0"/>
          <w:numId w:val="1003"/>
        </w:numPr>
        <w:pStyle w:val="Compact"/>
      </w:pPr>
      <w:r>
        <w:t xml:space="preserve">Digital Inclusion Initiatives:</w:t>
      </w:r>
    </w:p>
    <w:p>
      <w:pPr>
        <w:numPr>
          <w:ilvl w:val="0"/>
          <w:numId w:val="1000"/>
        </w:numPr>
        <w:pStyle w:val="Compact"/>
      </w:pPr>
      <w:r>
        <w:t xml:space="preserve">Policies must address the digital divide to ensure that online engagement with politicians does not exclude elderly or low-income residents who may lack reliable internet access in Greater Manchester.</w:t>
      </w:r>
    </w:p>
    <w:p>
      <w:pPr>
        <w:numPr>
          <w:ilvl w:val="0"/>
          <w:numId w:val="1003"/>
        </w:numPr>
        <w:pStyle w:val="Compact"/>
      </w:pPr>
      <w:r>
        <w:rPr>
          <w:bCs/>
          <w:b/>
        </w:rPr>
        <w:t xml:space="preserve">Economic-Centric Rhetoric:</w:t>
      </w:r>
    </w:p>
    <w:bookmarkEnd w:id="34"/>
    <w:bookmarkEnd w:id="35"/>
    <w:bookmarkStart w:id="36" w:name="section-7"/>
    <w:p>
      <w:pPr>
        <w:pStyle w:val="Heading2"/>
      </w:pPr>
    </w:p>
    <w:p>
      <w:pPr>
        <w:pStyle w:val="FirstParagraph"/>
      </w:pPr>
      <w:r>
        <w:t xml:space="preserve">In conclusion, this poster presentation underscores that the future of political stability in Manchester, United Kingdom depends on a fundamental restructuring of the relationship between politician and citizen. The data clearly indicates that trust is not granted by virtue of office but is earned through consistent, visible, and economically sensitive action. As Greater Manchester continues to assert its autonomy from Westminster, local leaders must embrace a new paradigm of governance that prioritizes community engagement over partisan loyalty.</w:t>
      </w:r>
    </w:p>
    <w:p>
      <w:pPr>
        <w:pStyle w:val="BodyText"/>
      </w:pPr>
      <w:r>
        <w:t xml:space="preserve">We call for further longitudinal studies to track the long-term effects of these engagement strategies on voter turnout and civic participation across other UK regions.</w:t>
      </w:r>
    </w:p>
    <w:bookmarkEnd w:id="36"/>
    <w:bookmarkStart w:id="38" w:name="references"/>
    <w:bookmarkStart w:id="37" w:name="section-8"/>
    <w:p>
      <w:pPr>
        <w:pStyle w:val="Heading2"/>
      </w:pPr>
    </w:p>
    <w:p>
      <w:pPr>
        <w:numPr>
          <w:ilvl w:val="0"/>
          <w:numId w:val="1004"/>
        </w:numPr>
        <w:pStyle w:val="Compact"/>
      </w:pPr>
      <w:r>
        <w:t xml:space="preserve">Greater Manchester Combined Authority. (2018). "The Greater Manchester Deal." GMCA Publications.</w:t>
      </w:r>
    </w:p>
    <w:p>
      <w:pPr>
        <w:numPr>
          <w:ilvl w:val="0"/>
          <w:numId w:val="1004"/>
        </w:numPr>
        <w:pStyle w:val="Compact"/>
      </w:pPr>
      <w:r>
        <w:t xml:space="preserve">Mancini, P., &amp; Seligsohn, M. (2016). "Communication Strategies for Local Politicians." Journal of Local Governance Studies.</w:t>
      </w:r>
    </w:p>
    <w:p>
      <w:pPr>
        <w:numPr>
          <w:ilvl w:val="0"/>
          <w:numId w:val="1004"/>
        </w:numPr>
        <w:pStyle w:val="Compact"/>
      </w:pPr>
      <w:r>
        <w:t xml:space="preserve">National Centre for Social Research (NatCen). (2021). "Trust in Politicians: UK Widespread Survey Results."</w:t>
      </w:r>
    </w:p>
    <w:p>
      <w:pPr>
        <w:numPr>
          <w:ilvl w:val="0"/>
          <w:numId w:val="1004"/>
        </w:numPr>
        <w:pStyle w:val="Compact"/>
      </w:pPr>
      <w:r>
        <w:t xml:space="preserve">Roy, A. (2019). "The Manchester Model: Urban Policy and Devolution." Pluto Press.</w:t>
      </w:r>
    </w:p>
    <w:p>
      <w:pPr>
        <w:numPr>
          <w:ilvl w:val="0"/>
          <w:numId w:val="1004"/>
        </w:numPr>
        <w:pStyle w:val="Compact"/>
      </w:pPr>
      <w:r>
        <w:t xml:space="preserve">Taylor, B. (2014). "Decentralisation and the City: Lessons from Greater Manchester." Urban Studies Journal.</w:t>
      </w:r>
    </w:p>
    <w:bookmarkEnd w:id="37"/>
    <w:bookmarkEnd w:id="38"/>
    <w:p>
      <w:pPr>
        <w:pStyle w:val="FirstParagraph"/>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Political Dynamics in Manchester</dc:title>
  <dc:creator/>
  <dc:language>en</dc:language>
  <cp:keywords/>
  <dcterms:created xsi:type="dcterms:W3CDTF">2026-07-29T19:40:15Z</dcterms:created>
  <dcterms:modified xsi:type="dcterms:W3CDTF">2026-07-29T19:40:15Z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