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Politician</w:t>
      </w:r>
      <w:r>
        <w:t xml:space="preserve"> </w:t>
      </w:r>
      <w:r>
        <w:t xml:space="preserve">in</w:t>
      </w:r>
      <w:r>
        <w:t xml:space="preserve"> </w:t>
      </w:r>
      <w:r>
        <w:t xml:space="preserve">the</w:t>
      </w:r>
      <w:r>
        <w:t xml:space="preserve"> </w:t>
      </w:r>
      <w:r>
        <w:t xml:space="preserve">Windy</w:t>
      </w:r>
      <w:r>
        <w:t xml:space="preserve"> </w:t>
      </w:r>
      <w:r>
        <w:t xml:space="preserve">City:</w:t>
      </w:r>
      <w:r>
        <w:t xml:space="preserve"> </w:t>
      </w:r>
      <w:r>
        <w:t xml:space="preserve">Structural</w:t>
      </w:r>
      <w:r>
        <w:t xml:space="preserve"> </w:t>
      </w:r>
      <w:r>
        <w:t xml:space="preserve">Challenges</w:t>
      </w:r>
      <w:r>
        <w:t xml:space="preserve"> </w:t>
      </w:r>
      <w:r>
        <w:t xml:space="preserve">and</w:t>
      </w:r>
      <w:r>
        <w:t xml:space="preserve"> </w:t>
      </w:r>
      <w:r>
        <w:t xml:space="preserve">Civic</w:t>
      </w:r>
      <w:r>
        <w:t xml:space="preserve"> </w:t>
      </w:r>
      <w:r>
        <w:t xml:space="preserve">Engagement</w:t>
      </w:r>
      <w:r>
        <w:t xml:space="preserve"> </w:t>
      </w:r>
      <w:r>
        <w:t xml:space="preserve">in</w:t>
      </w:r>
      <w:r>
        <w:t xml:space="preserve"> </w:t>
      </w:r>
      <w:r>
        <w:t xml:space="preserve">Chicago</w:t>
      </w:r>
    </w:p>
    <w:bookmarkStart w:id="20" w:name="X565df9e8ed54b17a033e9faf36507096496c27f"/>
    <w:p>
      <w:pPr>
        <w:pStyle w:val="Heading1"/>
      </w:pPr>
      <w:r>
        <w:t xml:space="preserve">The Modern Politician in Chicago: Navigating Structural Inequities and Civic Engagement</w:t>
      </w:r>
    </w:p>
    <w:p>
      <w:pPr>
        <w:pStyle w:val="FirstParagraph"/>
      </w:pPr>
      <w:r>
        <w:t xml:space="preserve">An Academic Analysis of Political Leadership, Machine Politics, and Community Advocacy in the United States</w:t>
      </w:r>
    </w:p>
    <w:bookmarkEnd w:id="20"/>
    <w:p>
      <w:pPr>
        <w:pStyle w:val="BodyText"/>
      </w:pPr>
      <w:r>
        <w:rPr>
          <w:iCs/>
          <w:i/>
          <w:bCs/>
          <w:b/>
        </w:rPr>
        <w:t xml:space="preserve">Academic Poster Presentation Document | United States Chicago Contextual Study</w:t>
      </w:r>
      <w:r>
        <w:br/>
      </w:r>
      <w:r>
        <w:t xml:space="preserve">Prepared for: Urban Policy &amp; Political Science Symposium</w:t>
      </w:r>
      <w:r>
        <w:br/>
      </w:r>
      <w:r>
        <w:t xml:space="preserve">Location Focus: Chicago, Illinois, United States</w:t>
      </w:r>
      <w:r>
        <w:br/>
      </w:r>
      <w:r>
        <w:t xml:space="preserve">Target Audience: Researchers, Policymakers, and Civic Leaders in the American Metropolis</w:t>
      </w:r>
    </w:p>
    <w:bookmarkStart w:id="21" w:name="introduction"/>
    <w:p>
      <w:pPr>
        <w:pStyle w:val="Heading2"/>
      </w:pPr>
      <w:r>
        <w:t xml:space="preserve">1. Introduction</w:t>
      </w:r>
    </w:p>
    <w:p>
      <w:pPr>
        <w:pStyle w:val="FirstParagraph"/>
      </w:pPr>
      <w:r>
        <w:t xml:space="preserve">The role of a politician within the complex socio-political landscape of Chicago, United States, represents one of the most significant case studies in municipal governance. As the third-largest city in the country and a historical hub for labor movements and political machines, Chicago offers a unique vantage point for examining how modern politicians balance traditional machine politics with contemporary demands for transparency and equity.</w:t>
      </w:r>
    </w:p>
    <w:p>
      <w:pPr>
        <w:pStyle w:val="BodyText"/>
      </w:pPr>
      <w:r>
        <w:t xml:space="preserve">This presentation investigates the multifaceted responsibilities of elected officials in Chicago. It explores how these politicians navigate systemic challenges ranging from housing affordability to public safety, all while maintaining the delicate political coalitions that define United States urban democracy. The "Windy City" serves not merely as a setting but as an active variable in political behavior, influencing policy outcomes and constituent interactions.</w:t>
      </w:r>
    </w:p>
    <w:p>
      <w:pPr>
        <w:pStyle w:val="BodyText"/>
      </w:pPr>
      <w:r>
        <w:rPr>
          <w:bCs/>
          <w:b/>
        </w:rPr>
        <w:t xml:space="preserve">Key Thesis:</w:t>
      </w:r>
      <w:r>
        <w:t xml:space="preserve"> </w:t>
      </w:r>
      <w:r>
        <w:t xml:space="preserve">The effectiveness of a politician in Chicago is increasingly measured by their ability to bridge the gap between historical institutional power structures and the emerging demands for social justice among diverse demographic groups.</w:t>
      </w:r>
    </w:p>
    <w:bookmarkEnd w:id="21"/>
    <w:bookmarkStart w:id="22" w:name="Xa8a5d2ffe70f3a2561024269160d8ef58acfa47"/>
    <w:p>
      <w:pPr>
        <w:pStyle w:val="Heading2"/>
      </w:pPr>
      <w:r>
        <w:t xml:space="preserve">2. Historical Context: The Machine and Its Evolution</w:t>
      </w:r>
    </w:p>
    <w:p>
      <w:pPr>
        <w:pStyle w:val="FirstParagraph"/>
      </w:pPr>
      <w:r>
        <w:t xml:space="preserve">To understand the current political environment in United States Chicago, one must acknowledge the legacy of the Democratic Political Machine. For decades, this structure controlled patronage and local resources, creating a system where loyalty to party leadership often superseded individual legislative merit. While reforms have dismantled much of this overt control, its residual effects remain visible in zoning laws, public employment practices,</w:t>
      </w:r>
    </w:p>
    <w:bookmarkEnd w:id="22"/>
    <w:bookmarkStart w:id="24" w:name="contemporary-challenges-for-politicians"/>
    <w:p>
      <w:pPr>
        <w:pStyle w:val="Heading2"/>
      </w:pPr>
      <w:r>
        <w:t xml:space="preserve">3. Contemporary Challenges for Politicians</w:t>
      </w:r>
    </w:p>
    <w:p>
      <w:pPr>
        <w:pStyle w:val="FirstParagraph"/>
      </w:pPr>
      <w:r>
        <w:t xml:space="preserve">The modern politician in Chicago faces a tripartite challenge that differs significantly from rural or suburban United States contexts:</w:t>
      </w:r>
    </w:p>
    <w:p>
      <w:pPr>
        <w:numPr>
          <w:ilvl w:val="0"/>
          <w:numId w:val="1001"/>
        </w:numPr>
        <w:pStyle w:val="Compact"/>
      </w:pPr>
      <w:r>
        <w:rPr>
          <w:bCs/>
          <w:b/>
        </w:rPr>
        <w:t xml:space="preserve">Housing and Gentrification:</w:t>
      </w:r>
      <w:r>
        <w:t xml:space="preserve"> </w:t>
      </w:r>
      <w:r>
        <w:t xml:space="preserve">Politicians must address the rapid displacement of long-term residents. As developers target neighborhoods across Chicago, elected officials struggle to implement rent control measures and affordable housing mandates without stifling economic growth.</w:t>
      </w:r>
    </w:p>
    <w:p>
      <w:pPr>
        <w:numPr>
          <w:ilvl w:val="0"/>
          <w:numId w:val="1001"/>
        </w:numPr>
        <w:pStyle w:val="Compact"/>
      </w:pPr>
      <w:r>
        <w:rPr>
          <w:bCs/>
          <w:b/>
        </w:rPr>
        <w:t xml:space="preserve">Racial Equity in Policing:</w:t>
      </w:r>
      <w:r>
        <w:t xml:space="preserve"> </w:t>
      </w:r>
      <w:r>
        <w:t xml:space="preserve">Following national movements for racial justice, Chicago politicians are under intense scrutiny to reform the Chicago Police Department. This involves navigating union contracts, community trust-building efforts,</w:t>
      </w:r>
    </w:p>
    <w:bookmarkStart w:id="23" w:name="the-role-of-data-driven-governance"/>
    <w:p>
      <w:pPr>
        <w:pStyle w:val="Heading3"/>
      </w:pPr>
      <w:r>
        <w:t xml:space="preserve">The Role of Data-Driven Governance</w:t>
      </w:r>
    </w:p>
    <w:p>
      <w:pPr>
        <w:pStyle w:val="FirstParagraph"/>
      </w:pPr>
      <w:r>
        <w:t xml:space="preserve">In an era of big data, the successful politician in Chicago relies on analytics to allocate resources efficiently. Initiatives such as predictive policing and digital service portals require political leaders to advocate for technological infrastructure investments. This shift demands that politicians possess not only rhetorical skills but also a foundational understanding of urban data systems.</w:t>
      </w:r>
    </w:p>
    <w:bookmarkEnd w:id="23"/>
    <w:bookmarkEnd w:id="24"/>
    <w:bookmarkStart w:id="26" w:name="mechanisms-of-civic-engagement"/>
    <w:p>
      <w:pPr>
        <w:pStyle w:val="Heading2"/>
      </w:pPr>
      <w:r>
        <w:t xml:space="preserve">4. Mechanisms of Civic Engagement</w:t>
      </w:r>
    </w:p>
    <w:p>
      <w:pPr>
        <w:pStyle w:val="FirstParagraph"/>
      </w:pPr>
      <w:r>
        <w:t xml:space="preserve">Civic engagement in Chicago has evolved beyond traditional town halls. The modern politician must engage constituents through digital platforms, community land trusts, and participatory budgeting processes.</w:t>
      </w:r>
    </w:p>
    <w:p>
      <w:pPr>
        <w:numPr>
          <w:ilvl w:val="0"/>
          <w:numId w:val="1002"/>
        </w:numPr>
        <w:pStyle w:val="Compact"/>
      </w:pPr>
      <w:r>
        <w:rPr>
          <w:bCs/>
          <w:b/>
        </w:rPr>
        <w:t xml:space="preserve">Digital Outreach:</w:t>
      </w:r>
      <w:r>
        <w:t xml:space="preserve"> </w:t>
      </w:r>
      <w:r>
        <w:t xml:space="preserve">With a highly mobile population,</w:t>
      </w:r>
    </w:p>
    <w:bookmarkStart w:id="25" w:name="the-impact-of-grassroots-movements"/>
    <w:p>
      <w:pPr>
        <w:pStyle w:val="Heading3"/>
      </w:pPr>
      <w:r>
        <w:t xml:space="preserve">The Impact of Grassroots Movements</w:t>
      </w:r>
    </w:p>
    <w:p>
      <w:pPr>
        <w:pStyle w:val="FirstParagraph"/>
      </w:pPr>
      <w:r>
        <w:t xml:space="preserve">Influence in Chicago politics is no longer top-down. Grassroots organizations, such as those advocating for environmental justice in the South Side or tenant rights in the North Ward, exert significant pressure on elected officials. Politicians who ignore these voices risk losing primary elections and community support. Therefore,</w:t>
      </w:r>
    </w:p>
    <w:p>
      <w:pPr>
        <w:pStyle w:val="BodyText"/>
      </w:pPr>
      <w:r>
        <w:rPr>
          <w:bCs/>
          <w:b/>
        </w:rPr>
        <w:t xml:space="preserve">Observation:</w:t>
      </w:r>
      <w:r>
        <w:t xml:space="preserve"> </w:t>
      </w:r>
      <w:r>
        <w:t xml:space="preserve">Successful Chicago politicians act as intermediaries, translating grassroots demands into legislative language while managing expectations of the broader electorate in the United States urban center.</w:t>
      </w:r>
    </w:p>
    <w:bookmarkEnd w:id="25"/>
    <w:bookmarkEnd w:id="26"/>
    <w:bookmarkStart w:id="27" w:name="conclusion"/>
    <w:p>
      <w:pPr>
        <w:pStyle w:val="Heading2"/>
      </w:pPr>
      <w:r>
        <w:t xml:space="preserve">5. Conclusion</w:t>
      </w:r>
    </w:p>
    <w:p>
      <w:pPr>
        <w:pStyle w:val="FirstParagraph"/>
      </w:pPr>
      <w:r>
        <w:t xml:space="preserve">The study of the politician in Chicago reveals a complex interplay between history, race, economics,</w:t>
      </w:r>
    </w:p>
    <w:p>
      <w:pPr>
        <w:numPr>
          <w:ilvl w:val="0"/>
          <w:numId w:val="1003"/>
        </w:numPr>
        <w:pStyle w:val="Compact"/>
      </w:pPr>
      <w:r>
        <w:rPr>
          <w:bCs/>
          <w:b/>
        </w:rPr>
        <w:t xml:space="preserve">Institutional Memory:</w:t>
      </w:r>
      <w:r>
        <w:t xml:space="preserve"> </w:t>
      </w:r>
      <w:r>
        <w:t xml:space="preserve">Politicians must respect the historical context of Chicago’s neighborhoods while pushing for progressive change.</w:t>
      </w:r>
    </w:p>
    <w:p>
      <w:pPr>
        <w:numPr>
          <w:ilvl w:val="0"/>
          <w:numId w:val="1003"/>
        </w:numPr>
        <w:pStyle w:val="Compact"/>
      </w:pPr>
      <w:r>
        <w:rPr>
          <w:bCs/>
          <w:b/>
        </w:rPr>
        <w:t xml:space="preserve">Fiscal Responsibility:</w:t>
      </w:r>
    </w:p>
    <w:bookmarkEnd w:id="27"/>
    <w:bookmarkStart w:id="28" w:name="implications-for-united-states-policy"/>
    <w:p>
      <w:pPr>
        <w:pStyle w:val="Heading2"/>
      </w:pPr>
      <w:r>
        <w:t xml:space="preserve">6. Implications for United States Policy</w:t>
      </w:r>
    </w:p>
    <w:p>
      <w:pPr>
        <w:pStyle w:val="FirstParagraph"/>
      </w:pPr>
      <w:r>
        <w:t xml:space="preserve">The lessons learned from Chicago's political landscape have broader implications for other major cities across the United States. The struggle to balance efficiency with equity, and tradition with innovation,</w:t>
      </w:r>
    </w:p>
    <w:bookmarkEnd w:id="28"/>
    <w:bookmarkStart w:id="29" w:name="references-further-reading"/>
    <w:p>
      <w:pPr>
        <w:pStyle w:val="Heading2"/>
      </w:pPr>
      <w:r>
        <w:t xml:space="preserve">References &amp; Further Reading</w:t>
      </w:r>
    </w:p>
    <w:p>
      <w:pPr>
        <w:pStyle w:val="FirstParagraph"/>
      </w:pPr>
      <w:r>
        <w:t xml:space="preserve">1. Jacoby, S. (2014). *The Machine: The Making of Chicago's Political Dynasty*. Basic Books.</w:t>
      </w:r>
    </w:p>
    <w:p>
      <w:pPr>
        <w:pStyle w:val="BodyText"/>
      </w:pPr>
      <w:r>
        <w:t xml:space="preserve">2. Illinois Municipal Code: Chapter 65 - Illinois Municipal Code, Title 68 - Local Government Units.</w:t>
      </w:r>
    </w:p>
    <w:p>
      <w:pPr>
        <w:pStyle w:val="BodyText"/>
      </w:pPr>
      <w:r>
        <w:t xml:space="preserve">3. Chicago Community Trust Reports on Wealth Disparity and Housing Stability (2021-2023).</w:t>
      </w:r>
    </w:p>
    <w:bookmarkEnd w:id="29"/>
    <w:p>
      <w:pPr>
        <w:pStyle w:val="BodyText"/>
      </w:pPr>
      <w:r>
        <w:t xml:space="preserve">© 2023 Academic Poster Presentation | United States Chicago Political Science Research Group</w:t>
      </w:r>
      <w:r>
        <w:br/>
      </w:r>
      <w:r>
        <w:t xml:space="preserve">For inquiries regarding the methodology of this study on Politician behavior in Chicago, please contact the symposium organizers.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Politician in the Windy City: Structural Challenges and Civic Engagement in Chicago</dc:title>
  <dc:creator/>
  <dc:language>en</dc:language>
  <cp:keywords/>
  <dcterms:created xsi:type="dcterms:W3CDTF">2026-07-29T18:41:47Z</dcterms:created>
  <dcterms:modified xsi:type="dcterms:W3CDTF">2026-07-29T18:41:47Z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