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Political</w:t>
      </w:r>
      <w:r>
        <w:t xml:space="preserve"> </w:t>
      </w:r>
      <w:r>
        <w:t xml:space="preserve">Dynamics</w:t>
      </w:r>
      <w:r>
        <w:t xml:space="preserve"> </w:t>
      </w:r>
      <w:r>
        <w:t xml:space="preserve">in</w:t>
      </w:r>
      <w:r>
        <w:t xml:space="preserve"> </w:t>
      </w:r>
      <w:r>
        <w:t xml:space="preserve">Tashkent</w:t>
      </w:r>
    </w:p>
    <w:bookmarkStart w:id="20" w:name="Xb1e071b5ccfa09486d50c09106ff367cf6e55a1"/>
    <w:p>
      <w:pPr>
        <w:pStyle w:val="Heading1"/>
      </w:pPr>
      <w:r>
        <w:t xml:space="preserve">The Evolving Role of the Politician in Modern Uzbekistan: A Case Study of Tashkent</w:t>
      </w:r>
    </w:p>
    <w:p>
      <w:pPr>
        <w:pStyle w:val="FirstParagraph"/>
      </w:pPr>
      <w:r>
        <w:rPr>
          <w:bCs/>
          <w:b/>
        </w:rPr>
        <w:t xml:space="preserve">Poster Presentation Academic Document</w:t>
      </w:r>
    </w:p>
    <w:p>
      <w:pPr>
        <w:pStyle w:val="BodyText"/>
      </w:pPr>
      <w:r>
        <w:t xml:space="preserve">Prepared by: Academic Research Team on Central Asian Studies</w:t>
      </w:r>
      <w:r>
        <w:t xml:space="preserve"> </w:t>
      </w:r>
      <w:r>
        <w:br/>
      </w:r>
      <w:r>
        <w:t xml:space="preserve">Institutional Affiliation: Institute for Governance and Democracy in Transition</w:t>
      </w:r>
      <w:r>
        <w:br/>
      </w:r>
      <w:r>
        <w:rPr>
          <w:iCs/>
          <w:i/>
        </w:rPr>
        <w:t xml:space="preserve">Presented at the International Forum on Post-Soviet Political Developments, Tashkent, Uzbekistan</w:t>
      </w:r>
    </w:p>
    <w:bookmarkEnd w:id="20"/>
    <w:bookmarkStart w:id="21" w:name="abstract"/>
    <w:p>
      <w:pPr>
        <w:pStyle w:val="Heading2"/>
      </w:pPr>
      <w:r>
        <w:t xml:space="preserve">Abstract</w:t>
      </w:r>
    </w:p>
    <w:p>
      <w:pPr>
        <w:pStyle w:val="FirstParagraph"/>
      </w:pPr>
      <w:r>
        <w:t xml:space="preserve">This academic poster presentation explores the multifaceted role of the **politician** within the rapidly transforming political landscape of</w:t>
      </w:r>
      <w:r>
        <w:t xml:space="preserve"> </w:t>
      </w:r>
      <w:r>
        <w:rPr>
          <w:bCs/>
          <w:b/>
        </w:rPr>
        <w:t xml:space="preserve">Uzbekistan</w:t>
      </w:r>
      <w:r>
        <w:t xml:space="preserve">, specifically focusing on its capital city,</w:t>
      </w:r>
      <w:r>
        <w:t xml:space="preserve"> </w:t>
      </w:r>
      <w:r>
        <w:rPr>
          <w:bCs/>
          <w:b/>
        </w:rPr>
        <w:t xml:space="preserve">Tashkent</w:t>
      </w:r>
      <w:r>
        <w:t xml:space="preserve">. Since gaining independence in 1991 and accelerating reforms under recent leadership, Uzbekistan has undergone significant shifts in governance structures. Tashkent serves as a critical microcosm for these changes, acting both as the administrative heart of the nation and a hub for emerging civil society interactions. This document analyzes how politicians navigate traditional patronage networks while addressing modern demands for transparency, economic development, and civic engagement. By examining recent policy implementations in</w:t>
      </w:r>
      <w:r>
        <w:t xml:space="preserve"> </w:t>
      </w:r>
      <w:r>
        <w:rPr>
          <w:bCs/>
          <w:b/>
        </w:rPr>
        <w:t xml:space="preserve">Tashkent</w:t>
      </w:r>
      <w:r>
        <w:t xml:space="preserve">, we highlight the tension between top-down directive politics and bottom-up societal expectations.</w:t>
      </w:r>
    </w:p>
    <w:bookmarkEnd w:id="21"/>
    <w:bookmarkStart w:id="22" w:name="contextual-background"/>
    <w:p>
      <w:pPr>
        <w:pStyle w:val="Heading2"/>
      </w:pPr>
      <w:r>
        <w:t xml:space="preserve">Contextual Background</w:t>
      </w:r>
    </w:p>
    <w:p>
      <w:pPr>
        <w:pStyle w:val="FirstParagraph"/>
      </w:pPr>
      <w:r>
        <w:t xml:space="preserve">To understand the current position of any</w:t>
      </w:r>
      <w:r>
        <w:t xml:space="preserve"> </w:t>
      </w:r>
      <w:r>
        <w:rPr>
          <w:bCs/>
          <w:b/>
        </w:rPr>
        <w:t xml:space="preserve">politician</w:t>
      </w:r>
      <w:r>
        <w:t xml:space="preserve"> </w:t>
      </w:r>
      <w:r>
        <w:t xml:space="preserve">in this region, one must first grasp the historical context. The transition from a rigid Soviet-style bureaucracy to a more market-oriented and politically flexible system has been gradual yet profound. In</w:t>
      </w:r>
      <w:r>
        <w:t xml:space="preserve"> </w:t>
      </w:r>
      <w:r>
        <w:rPr>
          <w:bCs/>
          <w:b/>
        </w:rPr>
        <w:t xml:space="preserve">Tashkent</w:t>
      </w:r>
      <w:r>
        <w:t xml:space="preserve">, this transformation is visible in urban planning projects, digital governance initiatives (such as the e-gov portal), and legal reforms aimed at reducing corruption.</w:t>
      </w:r>
    </w:p>
    <w:p>
      <w:pPr>
        <w:pStyle w:val="BodyText"/>
      </w:pPr>
      <w:r>
        <w:rPr>
          <w:bCs/>
          <w:b/>
        </w:rPr>
        <w:t xml:space="preserve">Uzbekistan</w:t>
      </w:r>
      <w:r>
        <w:t xml:space="preserve">'s political architecture relies heavily on a strong executive branch, but there is an observable shift towards decentralization and increased local authority for municipal leaders in cities like Tashkent. The modern</w:t>
      </w:r>
      <w:r>
        <w:t xml:space="preserve"> </w:t>
      </w:r>
      <w:r>
        <w:rPr>
          <w:bCs/>
          <w:b/>
        </w:rPr>
        <w:t xml:space="preserve">politician</w:t>
      </w:r>
      <w:r>
        <w:t xml:space="preserve">, therefore, operates in a dual capacity: implementing central directives from Tashkent (the city) while simultaneously responding to the specific needs of urban constituents who are becoming increasingly informed and vocal about their rights.</w:t>
      </w:r>
    </w:p>
    <w:bookmarkEnd w:id="22"/>
    <w:bookmarkStart w:id="23" w:name="X5c7fb31e4e7d18eb8e271790b66247f07ddab0d"/>
    <w:p>
      <w:pPr>
        <w:pStyle w:val="Heading3"/>
      </w:pPr>
      <w:r>
        <w:t xml:space="preserve">The Modern Politician as a Service Provider</w:t>
      </w:r>
    </w:p>
    <w:p>
      <w:pPr>
        <w:pStyle w:val="FirstParagraph"/>
      </w:pPr>
      <w:r>
        <w:t xml:space="preserve">In contemporary Tashkent, the role of the politician is increasingly defined by service delivery rather than mere ideological representation. Recent years have seen a surge in infrastructure development, including metro expansions and public park renovations. The politicians responsible for these initiatives are under pressure to deliver tangible results quickly to maintain legitimacy.</w:t>
      </w:r>
    </w:p>
    <w:p>
      <w:pPr>
        <w:numPr>
          <w:ilvl w:val="0"/>
          <w:numId w:val="1001"/>
        </w:numPr>
        <w:pStyle w:val="Compact"/>
      </w:pPr>
      <w:r>
        <w:rPr>
          <w:bCs/>
          <w:b/>
        </w:rPr>
        <w:t xml:space="preserve">Digital Transformation:</w:t>
      </w:r>
      <w:r>
        <w:t xml:space="preserve"> </w:t>
      </w:r>
      <w:r>
        <w:t xml:space="preserve">Politicians in Tashkent are leveraging technology to streamline interactions with citizens. Apps for reporting issues (e.g., broken water pipes or street lighting) have changed how politicians receive feedback.</w:t>
      </w:r>
    </w:p>
    <w:p>
      <w:pPr>
        <w:numPr>
          <w:ilvl w:val="0"/>
          <w:numId w:val="1001"/>
        </w:numPr>
        <w:pStyle w:val="Compact"/>
      </w:pPr>
      <w:r>
        <w:rPr>
          <w:bCs/>
          <w:b/>
        </w:rPr>
        <w:t xml:space="preserve">Economic Diplomacy:</w:t>
      </w:r>
      <w:r>
        <w:t xml:space="preserve"> </w:t>
      </w:r>
      <w:r>
        <w:t xml:space="preserve">As Tashkent positions itself as a regional hub for investment, local and national politicians engage in diplomatic efforts to attract foreign direct investment, requiring skills far beyond traditional legislative duties.</w:t>
      </w:r>
    </w:p>
    <w:p>
      <w:pPr>
        <w:pStyle w:val="FirstParagraph"/>
      </w:pPr>
      <w:r>
        <w:rPr>
          <w:bCs/>
          <w:b/>
        </w:rPr>
        <w:t xml:space="preserve">Note:</w:t>
      </w:r>
      <w:r>
        <w:t xml:space="preserve"> </w:t>
      </w:r>
      <w:r>
        <w:t xml:space="preserve">The efficacy of these reforms depends largely on the integrity and competence of individual politicians managing these sectors.</w:t>
      </w:r>
    </w:p>
    <w:bookmarkEnd w:id="23"/>
    <w:bookmarkStart w:id="24" w:name="Xce7e22f6b47cfa6b5c8665f22d03cf86ae38ba9"/>
    <w:p>
      <w:pPr>
        <w:pStyle w:val="Heading3"/>
      </w:pPr>
      <w:r>
        <w:t xml:space="preserve">Challenges to Political Accountability in Tashkent</w:t>
      </w:r>
    </w:p>
    <w:p>
      <w:pPr>
        <w:pStyle w:val="FirstParagraph"/>
      </w:pPr>
      <w:r>
        <w:t xml:space="preserve">Despite progress, significant challenges remain. The concentration of power means that the success or failure of many policies rests on a few key decision-makers in Tashkent. For the average citizen, accountability mechanisms can sometimes feel distant or opaque.</w:t>
      </w:r>
    </w:p>
    <w:p>
      <w:pPr>
        <w:numPr>
          <w:ilvl w:val="0"/>
          <w:numId w:val="1002"/>
        </w:numPr>
        <w:pStyle w:val="Compact"/>
      </w:pPr>
      <w:r>
        <w:rPr>
          <w:bCs/>
          <w:b/>
        </w:rPr>
        <w:t xml:space="preserve">Bureaucratic Inertia:</w:t>
      </w:r>
      <w:r>
        <w:t xml:space="preserve"> </w:t>
      </w:r>
      <w:r>
        <w:t xml:space="preserve">Even with reformist rhetoric, bureaucratic hurdles often slow down policy implementation at the municipal level in Tashkent.</w:t>
      </w:r>
    </w:p>
    <w:p>
      <w:pPr>
        <w:numPr>
          <w:ilvl w:val="0"/>
          <w:numId w:val="1002"/>
        </w:numPr>
        <w:pStyle w:val="Compact"/>
      </w:pPr>
      <w:r>
        <w:rPr>
          <w:bCs/>
          <w:b/>
        </w:rPr>
        <w:t xml:space="preserve">Civil Society Engagement:</w:t>
      </w:r>
      <w:r>
        <w:t xml:space="preserve"> </w:t>
      </w:r>
      <w:r>
        <w:t xml:space="preserve">While space for non-governmental organizations (NGOs) has expanded, the role of civil society in holding politicians accountable is still developing compared to Western democratic models.</w:t>
      </w:r>
    </w:p>
    <w:p>
      <w:pPr>
        <w:pStyle w:val="FirstParagraph"/>
      </w:pPr>
      <w:r>
        <w:rPr>
          <w:bCs/>
          <w:b/>
        </w:rPr>
        <w:t xml:space="preserve">Observation:</w:t>
      </w:r>
      <w:r>
        <w:t xml:space="preserve"> </w:t>
      </w:r>
      <w:r>
        <w:t xml:space="preserve">There is a growing demand from Tashkent's youth demographic for more transparent political processes and greater participation in local governance.</w:t>
      </w:r>
    </w:p>
    <w:bookmarkEnd w:id="24"/>
    <w:bookmarkStart w:id="25" w:name="X8ba6c58bb0b7a1de804b9590b5aa56c57a127bb"/>
    <w:p>
      <w:pPr>
        <w:pStyle w:val="Heading2"/>
      </w:pPr>
      <w:r>
        <w:t xml:space="preserve">Implications for Governance in Uzbekistan</w:t>
      </w:r>
    </w:p>
    <w:p>
      <w:pPr>
        <w:pStyle w:val="FirstParagraph"/>
      </w:pPr>
      <w:r>
        <w:t xml:space="preserve">The experience of the politician in Tashkent offers valuable lessons for other post-Soviet states. It demonstrates that economic liberalization must be accompanied by political adaptation to ensure long-term stability.</w:t>
      </w:r>
    </w:p>
    <w:p>
      <w:pPr>
        <w:pStyle w:val="BodyText"/>
      </w:pPr>
      <w:r>
        <w:rPr>
          <w:bCs/>
          <w:b/>
        </w:rPr>
        <w:t xml:space="preserve">Uzbekistan</w:t>
      </w:r>
      <w:r>
        <w:t xml:space="preserve">'s trajectory suggests that a hybrid model, combining strong central leadership with responsive local governance in key urban centers like Tashkent, may be effective in managing the complexities of modern state-building. However, this requires politicians to be adaptable, technologically savvy, and deeply connected to the public welfare.</w:t>
      </w:r>
    </w:p>
    <w:p>
      <w:pPr>
        <w:pStyle w:val="BodyText"/>
      </w:pPr>
      <w:r>
        <w:t xml:space="preserve">Future research should focus on longitudinal studies of how political careers evolve in Tashkent and whether these new models of engagement lead to sustained institutional reforms across rural areas as well.</w:t>
      </w:r>
    </w:p>
    <w:bookmarkEnd w:id="25"/>
    <w:bookmarkStart w:id="27" w:name="conclusion"/>
    <w:p>
      <w:pPr>
        <w:pStyle w:val="Heading2"/>
      </w:pPr>
      <w:r>
        <w:t xml:space="preserve">Conclusion</w:t>
      </w:r>
    </w:p>
    <w:p>
      <w:pPr>
        <w:pStyle w:val="FirstParagraph"/>
      </w:pPr>
      <w:r>
        <w:t xml:space="preserve">This poster presentation underscores that the role of the</w:t>
      </w:r>
      <w:r>
        <w:t xml:space="preserve"> </w:t>
      </w:r>
      <w:r>
        <w:rPr>
          <w:bCs/>
          <w:b/>
        </w:rPr>
        <w:t xml:space="preserve">politician</w:t>
      </w:r>
      <w:r>
        <w:t xml:space="preserve"> </w:t>
      </w:r>
      <w:r>
        <w:t xml:space="preserve">in Tashkent is no longer static. It is dynamic, complex, and increasingly scrutinized by a modernizing populace. For</w:t>
      </w:r>
      <w:r>
        <w:t xml:space="preserve"> </w:t>
      </w:r>
      <w:r>
        <w:rPr>
          <w:bCs/>
          <w:b/>
        </w:rPr>
        <w:t xml:space="preserve">Uzbekistan</w:t>
      </w:r>
      <w:r>
        <w:t xml:space="preserve">, fostering an environment where politicians can effectively bridge the gap between central authority and local needs in its capital city is crucial for sustained democratic development and economic prosperity.</w:t>
      </w:r>
    </w:p>
    <w:p>
      <w:pPr>
        <w:pStyle w:val="BodyText"/>
      </w:pPr>
      <w:r>
        <w:rPr>
          <w:iCs/>
          <w:i/>
        </w:rPr>
        <w:t xml:space="preserve">The future of governance in Central Asia will be significantly shaped by how well Tashkent's political structures evolve to meet these emerging challenges.</w:t>
      </w:r>
    </w:p>
    <w:bookmarkStart w:id="26" w:name="references-further-reading"/>
    <w:p>
      <w:pPr>
        <w:pStyle w:val="Heading3"/>
      </w:pPr>
      <w:r>
        <w:t xml:space="preserve">References &amp; Further Reading</w:t>
      </w:r>
    </w:p>
    <w:p>
      <w:pPr>
        <w:numPr>
          <w:ilvl w:val="0"/>
          <w:numId w:val="1003"/>
        </w:numPr>
        <w:pStyle w:val="Compact"/>
      </w:pPr>
      <w:r>
        <w:t xml:space="preserve">Rodney, W., et al. (2021). *The Politics of Central Asia*. Routledge.</w:t>
      </w:r>
    </w:p>
    <w:p>
      <w:pPr>
        <w:numPr>
          <w:ilvl w:val="0"/>
          <w:numId w:val="1003"/>
        </w:numPr>
        <w:pStyle w:val="Compact"/>
      </w:pPr>
      <w:r>
        <w:t xml:space="preserve">Khalid, A. (2015). *Making Uzbekistan: Nation, Empire, and Revolution in the Early USSR*. Cornell University Press.</w:t>
      </w:r>
    </w:p>
    <w:p>
      <w:pPr>
        <w:numPr>
          <w:ilvl w:val="0"/>
          <w:numId w:val="1003"/>
        </w:numPr>
        <w:pStyle w:val="Compact"/>
      </w:pPr>
      <w:r>
        <w:t xml:space="preserve">World Bank Reports on Urban Development in Tashkent (2019-2023).</w:t>
      </w:r>
    </w:p>
    <w:p>
      <w:pPr>
        <w:numPr>
          <w:ilvl w:val="0"/>
          <w:numId w:val="1003"/>
        </w:numPr>
        <w:pStyle w:val="Compact"/>
      </w:pPr>
      <w:r>
        <w:t xml:space="preserve">Ministry of Foreign Affairs of Uzbekistan Annual Statements on Civic Engagement.</w:t>
      </w:r>
    </w:p>
    <w:p>
      <w:pPr>
        <w:pStyle w:val="FirstParagraph"/>
      </w:pPr>
      <w:r>
        <w:t xml:space="preserve">© 2024 Academic Research Group. All rights reserved. This document is intended for academic dissemination and discussion regarding political developments in Tashkent, Uzbekistan.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Political Dynamics in Tashkent</dc:title>
  <dc:creator/>
  <dc:language>en</dc:language>
  <cp:keywords/>
  <dcterms:created xsi:type="dcterms:W3CDTF">2026-07-29T17:20:49Z</dcterms:created>
  <dcterms:modified xsi:type="dcterms:W3CDTF">2026-07-29T17:20:49Z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