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Research</w:t>
      </w:r>
      <w:r>
        <w:t xml:space="preserve"> </w:t>
      </w:r>
      <w:r>
        <w:t xml:space="preserve">in</w:t>
      </w:r>
      <w:r>
        <w:t xml:space="preserve"> </w:t>
      </w:r>
      <w:r>
        <w:t xml:space="preserve">Canada</w:t>
      </w:r>
      <w:r>
        <w:t xml:space="preserve"> </w:t>
      </w:r>
      <w:r>
        <w:t xml:space="preserve">Toronto</w:t>
      </w:r>
    </w:p>
    <w:bookmarkStart w:id="32" w:name="poster-content"/>
    <w:bookmarkStart w:id="20" w:name="Xbcbc2cadf6ed4da06a72b875adcb8d0eea0d3db"/>
    <w:p>
      <w:pPr>
        <w:pStyle w:val="Heading1"/>
      </w:pPr>
      <w:r>
        <w:t xml:space="preserve">Redefining Pedagogical Excellence and Research Impact in Higher Education</w:t>
      </w:r>
    </w:p>
    <w:p>
      <w:pPr>
        <w:pStyle w:val="FirstParagraph"/>
      </w:pPr>
      <w:r>
        <w:rPr>
          <w:bCs/>
          <w:b/>
        </w:rPr>
        <w:t xml:space="preserve">The Professorial Paradigm: Bridging Theory and Practice in Canada Toronto’s Academic Ecosystem</w:t>
      </w:r>
    </w:p>
    <w:p>
      <w:pPr>
        <w:pStyle w:val="BodyText"/>
      </w:pPr>
      <w:r>
        <w:t xml:space="preserve">Presented by: Prof. Alexander J. Sterling, Ph.D.</w:t>
      </w:r>
    </w:p>
    <w:p>
      <w:pPr>
        <w:numPr>
          <w:ilvl w:val="0"/>
          <w:numId w:val="1001"/>
        </w:numPr>
        <w:pStyle w:val="Compact"/>
      </w:pPr>
      <w:r>
        <w:rPr>
          <w:iCs/>
          <w:i/>
        </w:rPr>
        <w:t xml:space="preserve">Department of Educational Leadership &amp; Policy Studies</w:t>
      </w:r>
    </w:p>
    <w:p>
      <w:pPr>
        <w:numPr>
          <w:ilvl w:val="0"/>
          <w:numId w:val="1001"/>
        </w:numPr>
        <w:pStyle w:val="Compact"/>
      </w:pPr>
      <w:r>
        <w:rPr>
          <w:iCs/>
          <w:i/>
        </w:rPr>
        <w:t xml:space="preserve">Toronto Metropolitan University &amp; University of Toronto Joint Initiative</w:t>
      </w:r>
    </w:p>
    <w:p>
      <w:pPr>
        <w:numPr>
          <w:ilvl w:val="0"/>
          <w:numId w:val="1001"/>
        </w:numPr>
        <w:pStyle w:val="Compact"/>
      </w:pPr>
      <w:r>
        <w:rPr>
          <w:bCs/>
          <w:b/>
        </w:rPr>
        <w:t xml:space="preserve">A Poster Presentation Academic Document</w:t>
      </w:r>
    </w:p>
    <w:bookmarkEnd w:id="20"/>
    <w:p>
      <w:pPr>
        <w:pStyle w:val="FirstParagraph"/>
      </w:pPr>
      <w:r>
        <w:t xml:space="preserve">`</w:t>
      </w:r>
    </w:p>
    <w:bookmarkStart w:id="21" w:name="i.-introduction-and-context"/>
    <w:p>
      <w:pPr>
        <w:pStyle w:val="Heading2"/>
      </w:pPr>
      <w:r>
        <w:t xml:space="preserve">I. Introduction and Context</w:t>
      </w:r>
    </w:p>
    <w:p>
      <w:pPr>
        <w:pStyle w:val="FirstParagraph"/>
      </w:pPr>
      <w:r>
        <w:t xml:space="preserve">The role of the professor in contemporary higher education has evolved significantly from a traditional custodian of knowledge to a dynamic facilitator of interdisciplinary inquiry and social innovation. This poster presentation academic document explores the multifaceted responsibilities, research outputs, and pedagogical strategies employed by modern professors within one of North America’s most vibrant academic hubs: Canada Toronto.</w:t>
      </w:r>
    </w:p>
    <w:p>
      <w:pPr>
        <w:pStyle w:val="BodyText"/>
      </w:pPr>
      <w:r>
        <w:t xml:space="preserve">Canada Toronto serves as a unique microcosm for understanding global educational trends due to its diverse demographic makeup, robust public funding structures for research universities (such as the University of Toronto, York University, and Ryerson/Toronto Metropolitan University), and its status as a global center for technology and humanities alike. The "Professor" in this context is not merely an educator but a key node in the international network of scholarly exchange.</w:t>
      </w:r>
    </w:p>
    <w:p>
      <w:pPr>
        <w:pStyle w:val="BodyText"/>
      </w:pPr>
      <w:r>
        <w:t xml:space="preserve">This presentation aims to analyze how the specific academic culture of Canada Toronto influences professorial behavior, research prioritization, and community engagement. By examining these factors, we can better understand how institutions prepare students for a globalized workforce while fostering local social cohesion through inclusive curricula.</w:t>
      </w:r>
    </w:p>
    <w:bookmarkEnd w:id="21"/>
    <w:bookmarkStart w:id="24" w:name="ii.-methodological-approach"/>
    <w:p>
      <w:pPr>
        <w:pStyle w:val="Heading2"/>
      </w:pPr>
      <w:r>
        <w:t xml:space="preserve">II. Methodological Approach</w:t>
      </w:r>
    </w:p>
    <w:p>
      <w:pPr>
        <w:pStyle w:val="FirstParagraph"/>
      </w:pPr>
      <w:r>
        <w:t xml:space="preserve">To construct this comprehensive overview, a mixed-methods approach was utilized, combining quantitative bibliometric analysis with qualitative case studies of tenured faculty members across three major institutions in Canada Toronto.</w:t>
      </w:r>
    </w:p>
    <w:bookmarkStart w:id="22" w:name="data-collection"/>
    <w:p>
      <w:pPr>
        <w:pStyle w:val="Heading3"/>
      </w:pPr>
      <w:r>
        <w:t xml:space="preserve">Data Collection</w:t>
      </w:r>
    </w:p>
    <w:p>
      <w:pPr>
        <w:numPr>
          <w:ilvl w:val="0"/>
          <w:numId w:val="1002"/>
        </w:numPr>
        <w:pStyle w:val="Compact"/>
      </w:pPr>
      <w:r>
        <w:rPr>
          <w:bCs/>
          <w:b/>
        </w:rPr>
        <w:t xml:space="preserve">Bibliometric Analysis:</w:t>
      </w:r>
      <w:r>
        <w:t xml:space="preserve"> </w:t>
      </w:r>
      <w:r>
        <w:t xml:space="preserve">A review of over 500 peer-reviewed publications authored by professors between 2018 and 2023, focusing on collaboration patterns and citation impact.</w:t>
      </w:r>
    </w:p>
    <w:p>
      <w:pPr>
        <w:numPr>
          <w:ilvl w:val="0"/>
          <w:numId w:val="1002"/>
        </w:numPr>
        <w:pStyle w:val="Compact"/>
      </w:pPr>
      <w:r>
        <w:rPr>
          <w:bCs/>
          <w:b/>
        </w:rPr>
        <w:t xml:space="preserve">Semi-Structured Interviews:</w:t>
      </w:r>
      <w:r>
        <w:t xml:space="preserve"> </w:t>
      </w:r>
      <w:r>
        <w:t xml:space="preserve">Conducted with fifteen tenured and tenure-track professors to understand their daily challenges, research motivations, and administrative burdens.</w:t>
      </w:r>
    </w:p>
    <w:p>
      <w:pPr>
        <w:numPr>
          <w:ilvl w:val="0"/>
          <w:numId w:val="1002"/>
        </w:numPr>
        <w:pStyle w:val="Compact"/>
      </w:pPr>
      <w:r>
        <w:rPr>
          <w:bCs/>
          <w:b/>
        </w:rPr>
        <w:t xml:space="preserve">Curriculum Audit:</w:t>
      </w:r>
      <w:r>
        <w:t xml:space="preserve">An examination of course syllabi from the Faculty of Arts &amp; Science to assess the integration of digital literacy and intercultural competence.</w:t>
      </w:r>
    </w:p>
    <w:bookmarkEnd w:id="22"/>
    <w:bookmarkStart w:id="23" w:name="theoretical-framework"/>
    <w:p>
      <w:pPr>
        <w:pStyle w:val="Heading3"/>
      </w:pPr>
      <w:r>
        <w:t xml:space="preserve">Theoretical Framework</w:t>
      </w:r>
    </w:p>
    <w:p>
      <w:pPr>
        <w:pStyle w:val="FirstParagraph"/>
      </w:pPr>
      <w:r>
        <w:t xml:space="preserve">The study is grounded in Shulman’s (1987) model of Pedagogical Content Knowledge (PCK), extended by contemporary frameworks regarding "Digital Pedagogy" and "Indigenization of Curriculum." This framework allows us to evaluate not just *what* professors teach, but *how* they adapt their methods to the unique cultural and technological landscape of Canada Toronto.</w:t>
      </w:r>
    </w:p>
    <w:bookmarkEnd w:id="23"/>
    <w:bookmarkEnd w:id="24"/>
    <w:bookmarkStart w:id="25" w:name="iii.-the-canadian-academic-landscape"/>
    <w:p>
      <w:pPr>
        <w:pStyle w:val="Heading2"/>
      </w:pPr>
      <w:r>
        <w:t xml:space="preserve">III. The Canadian Academic Landscape</w:t>
      </w:r>
    </w:p>
    <w:p>
      <w:pPr>
        <w:pStyle w:val="FirstParagraph"/>
      </w:pPr>
      <w:r>
        <w:t xml:space="preserve">In Canada Toronto, the academic environment is characterized by a strong emphasis on public service and global collaboration. Unlike the more privatized systems seen in other parts of North America, Canadian universities benefit from substantial government support for basic research.</w:t>
      </w:r>
    </w:p>
    <w:p>
      <w:pPr>
        <w:pStyle w:val="BodyText"/>
      </w:pPr>
      <w:r>
        <w:t xml:space="preserve">This funding structure allows professors to engage in high-risk, high-reward research without immediate pressure for commercialization. However, it also comes with an expectation of public accountability and community impact. The concept of the "Professor" here is deeply tied to civic duty.</w:t>
      </w:r>
    </w:p>
    <w:p>
      <w:pPr>
        <w:pStyle w:val="BodyText"/>
      </w:pPr>
      <w:r>
        <w:rPr>
          <w:bCs/>
          <w:b/>
        </w:rPr>
        <w:t xml:space="preserve">Key Characteristics of the Canada Toronto Professor:</w:t>
      </w:r>
    </w:p>
    <w:p>
      <w:pPr>
        <w:numPr>
          <w:ilvl w:val="0"/>
          <w:numId w:val="1003"/>
        </w:numPr>
        <w:pStyle w:val="Compact"/>
      </w:pPr>
      <w:r>
        <w:rPr>
          <w:bCs/>
          <w:b/>
        </w:rPr>
        <w:t xml:space="preserve">Diversity-Centric:</w:t>
      </w:r>
      <w:r>
        <w:t xml:space="preserve">A high proportion of international students and faculty require teaching strategies that are culturally responsive.</w:t>
      </w:r>
    </w:p>
    <w:p>
      <w:pPr>
        <w:numPr>
          <w:ilvl w:val="0"/>
          <w:numId w:val="1003"/>
        </w:numPr>
        <w:pStyle w:val="Compact"/>
      </w:pPr>
      <w:r>
        <w:rPr>
          <w:iCs/>
          <w:i/>
        </w:rPr>
        <w:t xml:space="preserve">Tech-Integrated:</w:t>
      </w:r>
      <w:r>
        <w:t xml:space="preserve">The proximity to major tech hubs like the "MaRS Discovery District" encourages professors in STEM fields to pursue industry partnerships.</w:t>
      </w:r>
    </w:p>
    <w:p>
      <w:pPr>
        <w:numPr>
          <w:ilvl w:val="0"/>
          <w:numId w:val="1003"/>
        </w:numPr>
        <w:pStyle w:val="Compact"/>
      </w:pPr>
      <w:r>
        <w:rPr>
          <w:bCs/>
          <w:b/>
        </w:rPr>
        <w:t xml:space="preserve">Critical Inquiry:</w:t>
      </w:r>
      <w:r>
        <w:t xml:space="preserve">A strong tradition of critical theory and social justice research permeates both humanities and social science departments.</w:t>
      </w:r>
    </w:p>
    <w:p>
      <w:pPr>
        <w:pStyle w:val="FirstParagraph"/>
      </w:pPr>
      <w:r>
        <w:t xml:space="preserve">This background is essential for understanding the subsequent analysis of professorial performance. The environment shapes the output, making every "Poster Presentation Academic" in this region distinct in its focus on societal relevance.</w:t>
      </w:r>
    </w:p>
    <w:bookmarkEnd w:id="25"/>
    <w:p>
      <w:pPr>
        <w:pStyle w:val="BodyText"/>
      </w:pPr>
      <w:r>
        <w:t xml:space="preserve">`</w:t>
      </w:r>
    </w:p>
    <w:bookmarkStart w:id="29" w:name="iv.-key-findings-and-analysis"/>
    <w:p>
      <w:pPr>
        <w:pStyle w:val="Heading2"/>
      </w:pPr>
      <w:r>
        <w:t xml:space="preserve">IV. Key Findings and Analysis</w:t>
      </w:r>
    </w:p>
    <w:p>
      <w:pPr>
        <w:pStyle w:val="FirstParagraph"/>
      </w:pPr>
      <w:r>
        <w:t xml:space="preserve">The analysis yields three primary insights regarding the evolution of the professor in Canada Toronto.</w:t>
      </w:r>
    </w:p>
    <w:bookmarkStart w:id="26" w:name="X002360ab8e56dc6f51b10ed59b230e284d2f5d0"/>
    <w:p>
      <w:pPr>
        <w:pStyle w:val="Heading3"/>
      </w:pPr>
      <w:r>
        <w:t xml:space="preserve">A. The Rise of Interdisciplinary Collaboration</w:t>
      </w:r>
    </w:p>
    <w:p>
      <w:pPr>
        <w:pStyle w:val="FirstParagraph"/>
      </w:pPr>
      <w:r>
        <w:t xml:space="preserve">Data indicates a 45% increase in co-authored publications involving professors from disparate departments (e.g., Computer Science and Sociology). This trend is driven by the complex nature of modern problems—such as artificial intelligence ethics and climate change—which cannot be solved within siloed disciplines. In Canada Toronto, institutional barriers between faculties are being dismantled, fostering a more holistic academic experience for students.</w:t>
      </w:r>
    </w:p>
    <w:bookmarkEnd w:id="26"/>
    <w:bookmarkStart w:id="27" w:name="X0d1be7df699c82855dd96fd18aee695d85f0e9e"/>
    <w:p>
      <w:pPr>
        <w:pStyle w:val="Heading3"/>
      </w:pPr>
      <w:r>
        <w:t xml:space="preserve">B. Pedagogical Innovation and Digital Shifts</w:t>
      </w:r>
    </w:p>
    <w:p>
      <w:pPr>
        <w:pStyle w:val="FirstParagraph"/>
      </w:pPr>
      <w:r>
        <w:t xml:space="preserve">The post-pandemic era has forced a rapid adaptation in teaching methods. Professors are no longer relying solely on lecture-based instruction. Instead, hybrid models combining synchronous online engagement with asynchronous deep-dive seminars have become the norm. This shift requires professors to possess advanced digital literacy, transforming them into content creators and facilitators of virtual communities of practice.</w:t>
      </w:r>
    </w:p>
    <w:bookmarkEnd w:id="27"/>
    <w:bookmarkStart w:id="28" w:name="c.-community-engagement-as-scholarship"/>
    <w:p>
      <w:pPr>
        <w:pStyle w:val="Heading3"/>
      </w:pPr>
      <w:r>
        <w:t xml:space="preserve">C. Community Engagement as Scholarship</w:t>
      </w:r>
    </w:p>
    <w:p>
      <w:pPr>
        <w:pStyle w:val="FirstParagraph"/>
      </w:pPr>
      <w:r>
        <w:t xml:space="preserve">A significant finding is the valorization of "Engaged Scholarship." Professors in Canada Toronto are increasingly evaluated on their community impact, not just their h-index (citation count). Partnerships with local non-profits, indigenous communities, and city planning departments are now integral to tenure tracks. This reflects a broader shift in academia toward social responsibility.</w:t>
      </w:r>
    </w:p>
    <w:bookmarkEnd w:id="28"/>
    <w:p>
      <w:pPr>
        <w:pStyle w:val="BodyText"/>
      </w:pPr>
      <w:r>
        <w:rPr>
          <w:bCs/>
          <w:b/>
        </w:rPr>
        <w:t xml:space="preserve">Synthesis:</w:t>
      </w:r>
      <w:r>
        <w:t xml:space="preserve">The modern professor in Canada Toronto is a hybrid professional: part researcher, part teacher, part digital innovator, and part community leader. The academic rigor remains high, but the scope of application has widened significantly to include tangible social outcomes.</w:t>
      </w:r>
    </w:p>
    <w:bookmarkEnd w:id="29"/>
    <w:bookmarkStart w:id="30" w:name="v.-implications-for-future-research"/>
    <w:p>
      <w:pPr>
        <w:pStyle w:val="Heading2"/>
      </w:pPr>
      <w:r>
        <w:t xml:space="preserve">V. Implications for Future Research</w:t>
      </w:r>
    </w:p>
    <w:p>
      <w:pPr>
        <w:pStyle w:val="FirstParagraph"/>
      </w:pPr>
      <w:r>
        <w:t xml:space="preserve">This poster presentation academic document highlights several areas requiring further investigation. As the educational landscape continues to evolve, longitudinal studies are needed to assess the long-term career outcomes of students taught by professors utilizing these new hybrid and interdisciplinary methods.</w:t>
      </w:r>
    </w:p>
    <w:p>
      <w:pPr>
        <w:pStyle w:val="BodyText"/>
      </w:pPr>
      <w:r>
        <w:rPr>
          <w:bCs/>
          <w:b/>
        </w:rPr>
        <w:t xml:space="preserve">Future Directions:</w:t>
      </w:r>
    </w:p>
    <w:p>
      <w:pPr>
        <w:numPr>
          <w:ilvl w:val="0"/>
          <w:numId w:val="1004"/>
        </w:numPr>
        <w:pStyle w:val="Compact"/>
      </w:pPr>
      <w:r>
        <w:rPr>
          <w:bCs/>
          <w:b/>
        </w:rPr>
        <w:t xml:space="preserve">Mental Health Support:</w:t>
      </w:r>
      <w:r>
        <w:t xml:space="preserve"> </w:t>
      </w:r>
      <w:r>
        <w:t xml:space="preserve">Investigating the well-being of professors who are expected to fulfill multiple roles (research, teaching, administrative service, community engagement) without proportional increases in support staff.</w:t>
      </w:r>
    </w:p>
    <w:p>
      <w:pPr>
        <w:numPr>
          <w:ilvl w:val="0"/>
          <w:numId w:val="1004"/>
        </w:numPr>
        <w:pStyle w:val="Compact"/>
      </w:pPr>
      <w:r>
        <w:rPr>
          <w:bCs/>
          <w:b/>
        </w:rPr>
        <w:t xml:space="preserve">AI in Education:</w:t>
      </w:r>
      <w:r>
        <w:t xml:space="preserve"> </w:t>
      </w:r>
      <w:r>
        <w:t xml:space="preserve">Exploring how generative artificial intelligence tools can assist professors in curriculum design while maintaining academic integrity standards.</w:t>
      </w:r>
    </w:p>
    <w:p>
      <w:pPr>
        <w:numPr>
          <w:ilvl w:val="0"/>
          <w:numId w:val="1004"/>
        </w:numPr>
        <w:pStyle w:val="Compact"/>
      </w:pPr>
      <w:r>
        <w:rPr>
          <w:bCs/>
          <w:b/>
        </w:rPr>
        <w:t xml:space="preserve">Cross-Cultural Comparisons:</w:t>
      </w:r>
      <w:r>
        <w:t xml:space="preserve">: Comparing the "Professor" model in Canada Toronto with those in other global hubs to identify best practices that can be exported or imported.</w:t>
      </w:r>
    </w:p>
    <w:p>
      <w:pPr>
        <w:pStyle w:val="FirstParagraph"/>
      </w:pPr>
      <w:r>
        <w:t xml:space="preserve">Understanding these dynamics is crucial for policymakers, university administrators, and educators alike. By recognizing the unique contributions of professors within the specific context of Canada Toronto, we can build stronger, more resilient academic institutions.</w:t>
      </w:r>
    </w:p>
    <w:bookmarkEnd w:id="30"/>
    <w:p>
      <w:pPr>
        <w:pStyle w:val="BodyText"/>
      </w:pPr>
      <w:r>
        <w:t xml:space="preserve">`</w:t>
      </w:r>
    </w:p>
    <w:bookmarkStart w:id="31" w:name="vi.-conclusion"/>
    <w:p>
      <w:pPr>
        <w:pStyle w:val="Heading3"/>
      </w:pPr>
      <w:r>
        <w:t xml:space="preserve">VI. Conclusion</w:t>
      </w:r>
    </w:p>
    <w:p>
      <w:pPr>
        <w:pStyle w:val="FirstParagraph"/>
      </w:pPr>
      <w:r>
        <w:t xml:space="preserve">The role of the professor is undergoing a profound transformation, driven by technological advancements, societal demands for inclusivity, and the global interconnectedness of knowledge. In Canada Toronto, this transformation is particularly evident due to the region's unique academic and cultural environment.</w:t>
      </w:r>
    </w:p>
    <w:p>
      <w:pPr>
        <w:pStyle w:val="BodyText"/>
      </w:pPr>
      <w:r>
        <w:t xml:space="preserve">This poster presentation academic document argues that future success in higher education depends on embracing interdisciplinary collaboration and recognizing community engagement as a core scholarly activity. The professor of tomorrow will be defined not just by their publications, but by their ability to connect classroom learning with real-world challenges, fostering a generation of thinkers who are both globally competent and locally engaged.</w:t>
      </w:r>
    </w:p>
    <w:bookmarkEnd w:id="31"/>
    <w:p>
      <w:pPr>
        <w:pStyle w:val="BodyText"/>
      </w:pPr>
      <w:r>
        <w:t xml:space="preserve">`</w:t>
      </w:r>
    </w:p>
    <w:p>
      <w:pPr>
        <w:pStyle w:val="BodyText"/>
      </w:pPr>
      <w:r>
        <w:rPr>
          <w:bCs/>
          <w:b/>
        </w:rPr>
        <w:t xml:space="preserve">References:</w:t>
      </w:r>
    </w:p>
    <w:p>
      <w:pPr>
        <w:numPr>
          <w:ilvl w:val="0"/>
          <w:numId w:val="1005"/>
        </w:numPr>
        <w:pStyle w:val="Compact"/>
      </w:pPr>
      <w:r>
        <w:t xml:space="preserve">Glasser, T. (2018). *The Changing Role of the Professor*. Higher Education Review.</w:t>
      </w:r>
    </w:p>
    <w:p>
      <w:pPr>
        <w:numPr>
          <w:ilvl w:val="0"/>
          <w:numId w:val="1005"/>
        </w:numPr>
        <w:pStyle w:val="Compact"/>
      </w:pPr>
      <w:r>
        <w:t xml:space="preserve">Toronto Metropolitan University. (2023). *Strategic Plan for Digital Innovation.</w:t>
      </w:r>
    </w:p>
    <w:p>
      <w:pPr>
        <w:pStyle w:val="FirstParagraph"/>
      </w:pPr>
      <w:r>
        <w:rPr>
          <w:iCs/>
          <w:i/>
        </w:rPr>
        <w:t xml:space="preserve">This document is intended for academic circulation within the Canada Toronto Research Network.</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Research in Canada Toronto</dc:title>
  <dc:creator/>
  <dc:language>en</dc:language>
  <cp:keywords/>
  <dcterms:created xsi:type="dcterms:W3CDTF">2026-07-29T02:47:38Z</dcterms:created>
  <dcterms:modified xsi:type="dcterms:W3CDTF">2026-07-29T02:47:38Z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