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6fcb114341177a2a28cb72a79fc3462b5691ce4"/>
    <w:p>
      <w:pPr>
        <w:pStyle w:val="Heading1"/>
      </w:pPr>
      <w:r>
        <w:t xml:space="preserve">Bridging Innovation and Tradition: The Role of the</w:t>
      </w:r>
      <w:r>
        <w:t xml:space="preserve"> </w:t>
      </w:r>
      <w:r>
        <w:rPr>
          <w:bCs/>
          <w:b/>
        </w:rPr>
        <w:t xml:space="preserve">Professor</w:t>
      </w:r>
      <w:r>
        <w:t xml:space="preserve"> </w:t>
      </w:r>
      <w:r>
        <w:t xml:space="preserve">in Shaping Academic Excellence at Malaysian Universities in Kuala Lumpur</w:t>
      </w:r>
    </w:p>
    <w:p>
      <w:pPr>
        <w:pStyle w:val="FirstParagraph"/>
      </w:pPr>
      <w:r>
        <w:rPr>
          <w:bCs/>
          <w:b/>
        </w:rPr>
        <w:t xml:space="preserve">Presentation by:</w:t>
      </w:r>
      <w:r>
        <w:t xml:space="preserve"> </w:t>
      </w:r>
      <w:r>
        <w:t xml:space="preserve">Dr. Aishah binti Ismail, Senior Lecturer &amp; Research Associate</w:t>
      </w:r>
    </w:p>
    <w:p>
      <w:pPr>
        <w:pStyle w:val="BodyText"/>
      </w:pPr>
      <w:r>
        <w:rPr>
          <w:bCs/>
          <w:b/>
        </w:rPr>
        <w:t xml:space="preserve">Institution:</w:t>
      </w:r>
      <w:r>
        <w:t xml:space="preserve"> </w:t>
      </w:r>
      <w:r>
        <w:t xml:space="preserve">University of Malaya, Department of Educational Studies</w:t>
      </w:r>
    </w:p>
    <w:p>
      <w:pPr>
        <w:pStyle w:val="BodyText"/>
      </w:pPr>
      <w:r>
        <w:rPr>
          <w:bCs/>
          <w:b/>
        </w:rPr>
        <w:t xml:space="preserve">Date:</w:t>
      </w:r>
      <w:r>
        <w:t xml:space="preserve"> </w:t>
      </w:r>
      <w:r>
        <w:t xml:space="preserve">October 15, 2023 |</w:t>
      </w:r>
      <w:r>
        <w:t xml:space="preserve"> </w:t>
      </w:r>
      <w:r>
        <w:rPr>
          <w:bCs/>
          <w:b/>
        </w:rPr>
        <w:t xml:space="preserve">Venue:</w:t>
      </w:r>
      <w:r>
        <w:t xml:space="preserve"> </w:t>
      </w:r>
      <w:r>
        <w:t xml:space="preserve">International Convention Centre Kuala Lumpur (PICC)</w:t>
      </w:r>
    </w:p>
    <w:bookmarkEnd w:id="20"/>
    <w:bookmarkStart w:id="21" w:name="abstract"/>
    <w:p>
      <w:pPr>
        <w:pStyle w:val="Heading2"/>
      </w:pPr>
      <w:r>
        <w:t xml:space="preserve">Abstract</w:t>
      </w:r>
    </w:p>
    <w:p>
      <w:pPr>
        <w:pStyle w:val="FirstParagraph"/>
      </w:pPr>
      <w:r>
        <w:t xml:space="preserve">This poster presentation outlines the critical pedagogical and research contributions of a distinguished</w:t>
      </w:r>
      <w:r>
        <w:t xml:space="preserve"> </w:t>
      </w:r>
      <w:r>
        <w:rPr>
          <w:bCs/>
          <w:b/>
        </w:rPr>
        <w:t xml:space="preserve">Professor</w:t>
      </w:r>
      <w:r>
        <w:t xml:space="preserve"> </w:t>
      </w:r>
      <w:r>
        <w:t xml:space="preserve">within the dynamic academic ecosystem of Kuala Lumpur. As Malaysia positions itself as a regional hub for higher education, the role of senior faculty in fostering international collaborations, mentoring postgraduate students, and driving local innovation becomes paramount. This study examines how leading scholars in Kuala Lumpur navigate cultural nuances while adhering to global academic standards. The findings suggest that effective</w:t>
      </w:r>
      <w:r>
        <w:t xml:space="preserve"> </w:t>
      </w:r>
      <w:r>
        <w:rPr>
          <w:bCs/>
          <w:b/>
        </w:rPr>
        <w:t xml:space="preserve">Professor</w:t>
      </w:r>
      <w:r>
        <w:t xml:space="preserve">-led initiatives significantly enhance institutional reputation and student employability in the Malaysian job market.</w:t>
      </w:r>
    </w:p>
    <w:bookmarkEnd w:id="21"/>
    <w:bookmarkStart w:id="22" w:name="Xaf9d373f51a20d97a39e2c04c5a93ca4b8817ed"/>
    <w:p>
      <w:pPr>
        <w:pStyle w:val="Heading2"/>
      </w:pPr>
      <w:r>
        <w:t xml:space="preserve">1. Introduction: The Academic Landscape of Kuala Lumpur</w:t>
      </w:r>
    </w:p>
    <w:p>
      <w:pPr>
        <w:pStyle w:val="FirstParagraph"/>
      </w:pPr>
      <w:r>
        <w:t xml:space="preserve">Kuala Lumpur, as the capital city of Malaysia, stands as a beacon for educational excellence in Southeast Asia. The city is home to numerous top-tier universities and research centers that attract talent from across the globe. Central to this success is the figure of the</w:t>
      </w:r>
      <w:r>
        <w:t xml:space="preserve"> </w:t>
      </w:r>
      <w:r>
        <w:rPr>
          <w:bCs/>
          <w:b/>
        </w:rPr>
        <w:t xml:space="preserve">Professor</w:t>
      </w:r>
      <w:r>
        <w:t xml:space="preserve">, who serves not only as an educator but also as a thought leader and community bridge.</w:t>
      </w:r>
    </w:p>
    <w:p>
      <w:pPr>
        <w:pStyle w:val="BodyText"/>
      </w:pPr>
      <w:r>
        <w:t xml:space="preserve">In this context, we explore how academic leadership influences policy-making, curriculum development, and research output. The unique socio-cultural fabric of Malaysia requires academics to possess high emotional intelligence and cross-cultural communication skills. This poster highlights specific case studies from universities in Kuala Lumpur where</w:t>
      </w:r>
      <w:r>
        <w:t xml:space="preserve"> </w:t>
      </w:r>
      <w:r>
        <w:rPr>
          <w:bCs/>
          <w:b/>
        </w:rPr>
        <w:t xml:space="preserve">Professor</w:t>
      </w:r>
      <w:r>
        <w:t xml:space="preserve">-led projects have successfully integrated Islamic values with modern scientific inquiry.</w:t>
      </w:r>
    </w:p>
    <w:bookmarkEnd w:id="22"/>
    <w:bookmarkStart w:id="23" w:name="methodology-analyzing-impact-metrics"/>
    <w:p>
      <w:pPr>
        <w:pStyle w:val="Heading2"/>
      </w:pPr>
      <w:r>
        <w:t xml:space="preserve">2. Methodology: Analyzing Impact Metrics</w:t>
      </w:r>
    </w:p>
    <w:p>
      <w:pPr>
        <w:pStyle w:val="FirstParagraph"/>
      </w:pPr>
      <w:r>
        <w:t xml:space="preserve">To assess the contribution of senior academics, we utilized a mixed-methods approach comprising:</w:t>
      </w:r>
    </w:p>
    <w:p>
      <w:pPr>
        <w:numPr>
          <w:ilvl w:val="0"/>
          <w:numId w:val="1001"/>
        </w:numPr>
        <w:pStyle w:val="Compact"/>
      </w:pPr>
      <w:r>
        <w:rPr>
          <w:bCs/>
          <w:b/>
        </w:rPr>
        <w:t xml:space="preserve">Bibliometric Analysis:</w:t>
      </w:r>
      <w:r>
        <w:t xml:space="preserve"> </w:t>
      </w:r>
      <w:r>
        <w:t xml:space="preserve">Reviewing citation metrics and publication records of 50 leading scholars in Kuala Lumpur over the past decade.</w:t>
      </w:r>
    </w:p>
    <w:p>
      <w:pPr>
        <w:numPr>
          <w:ilvl w:val="0"/>
          <w:numId w:val="1001"/>
        </w:numPr>
        <w:pStyle w:val="Compact"/>
      </w:pPr>
      <w:r>
        <w:rPr>
          <w:bCs/>
          <w:b/>
        </w:rPr>
        <w:t xml:space="preserve">Semantic Interviews:</w:t>
      </w:r>
      <w:r>
        <w:t xml:space="preserve"> </w:t>
      </w:r>
      <w:r>
        <w:t xml:space="preserve">Conducting semi-structured interviews with 20 graduate students regarding their mentorship experiences.</w:t>
      </w:r>
    </w:p>
    <w:p>
      <w:pPr>
        <w:numPr>
          <w:ilvl w:val="0"/>
          <w:numId w:val="1001"/>
        </w:numPr>
        <w:pStyle w:val="Compact"/>
      </w:pPr>
      <w:r>
        <w:rPr>
          <w:bCs/>
          <w:b/>
        </w:rPr>
        <w:t xml:space="preserve">Institutional Review:</w:t>
      </w:r>
      <w:r>
        <w:t xml:space="preserve"> </w:t>
      </w:r>
      <w:r>
        <w:t xml:space="preserve">Examining grant acquisition rates for projects initiated by tenure-track</w:t>
      </w:r>
      <w:r>
        <w:t xml:space="preserve"> </w:t>
      </w:r>
      <w:r>
        <w:rPr>
          <w:bCs/>
          <w:b/>
        </w:rPr>
        <w:t xml:space="preserve">Professor</w:t>
      </w:r>
      <w:r>
        <w:t xml:space="preserve">s in the Kuala Lumpur metropolitan area.</w:t>
      </w:r>
    </w:p>
    <w:bookmarkEnd w:id="23"/>
    <w:bookmarkStart w:id="26" w:name="key-findings-the-professors-role"/>
    <w:p>
      <w:pPr>
        <w:pStyle w:val="Heading2"/>
      </w:pPr>
      <w:r>
        <w:t xml:space="preserve">3. Key Findings: The Professor's Role</w:t>
      </w:r>
    </w:p>
    <w:p>
      <w:pPr>
        <w:pStyle w:val="FirstParagraph"/>
      </w:pPr>
      <w:r>
        <w:t xml:space="preserve">The data reveals three primary domains where a</w:t>
      </w:r>
      <w:r>
        <w:t xml:space="preserve"> </w:t>
      </w:r>
      <w:r>
        <w:rPr>
          <w:bCs/>
          <w:b/>
        </w:rPr>
        <w:t xml:space="preserve">Professor</w:t>
      </w:r>
      <w:r>
        <w:t xml:space="preserve">'s presence is transformative:</w:t>
      </w:r>
    </w:p>
    <w:bookmarkStart w:id="24" w:name="a.-research-collaboration-networks"/>
    <w:p>
      <w:pPr>
        <w:pStyle w:val="Heading3"/>
      </w:pPr>
      <w:r>
        <w:t xml:space="preserve">A. Research Collaboration Networks</w:t>
      </w:r>
    </w:p>
    <w:p>
      <w:pPr>
        <w:pStyle w:val="FirstParagraph"/>
      </w:pPr>
      <w:r>
        <w:t xml:space="preserve">Kuala Lumpur acts as a nexus for international partnerships. Our analysis shows that universities with higher concentrations of active researchers see a 40% increase in foreign direct investment for research facilities.</w:t>
      </w:r>
    </w:p>
    <w:bookmarkEnd w:id="24"/>
    <w:bookmarkStart w:id="25" w:name="b.-pedagogical-innovation"/>
    <w:p>
      <w:pPr>
        <w:pStyle w:val="Heading3"/>
      </w:pPr>
      <w:r>
        <w:t xml:space="preserve">B. Pedagogical Innovation</w:t>
      </w:r>
    </w:p>
    <w:p>
      <w:pPr>
        <w:pStyle w:val="FirstParagraph"/>
      </w:pPr>
      <w:r>
        <w:t xml:space="preserve">The transition to digital learning platforms has been largely driven by senior faculty who understand the local context. A successful case study from a private university in Kuala Lumpur demonstrates how blended learning models improved student engagement by 25%.</w:t>
      </w:r>
    </w:p>
    <w:bookmarkEnd w:id="25"/>
    <w:bookmarkEnd w:id="26"/>
    <w:bookmarkStart w:id="27" w:name="case-study-sustainable-urban-development"/>
    <w:p>
      <w:pPr>
        <w:pStyle w:val="Heading2"/>
      </w:pPr>
      <w:r>
        <w:t xml:space="preserve">4. Case Study: Sustainable Urban Development</w:t>
      </w:r>
    </w:p>
    <w:p>
      <w:pPr>
        <w:pStyle w:val="FirstParagraph"/>
      </w:pPr>
      <w:r>
        <w:t xml:space="preserve">A prime example of impactful scholarship in Kuala Lumpur is the "Green Campus Initiative" led by a multidisciplinary team chaired by a Senior Professor. This project aimed to integrate sustainable urban planning principles into undergraduate curricula.</w:t>
      </w:r>
    </w:p>
    <w:p>
      <w:pPr>
        <w:numPr>
          <w:ilvl w:val="0"/>
          <w:numId w:val="1002"/>
        </w:numPr>
        <w:pStyle w:val="Compact"/>
      </w:pPr>
      <w:r>
        <w:rPr>
          <w:bCs/>
          <w:b/>
        </w:rPr>
        <w:t xml:space="preserve">Objective:</w:t>
      </w:r>
      <w:r>
        <w:t xml:space="preserve"> </w:t>
      </w:r>
      <w:r>
        <w:t xml:space="preserve">To create curriculum modules that address local environmental challenges such as flooding and air quality.</w:t>
      </w:r>
    </w:p>
    <w:p>
      <w:pPr>
        <w:numPr>
          <w:ilvl w:val="0"/>
          <w:numId w:val="1002"/>
        </w:numPr>
        <w:pStyle w:val="Compact"/>
      </w:pPr>
      <w:r>
        <w:rPr>
          <w:bCs/>
          <w:b/>
        </w:rPr>
        <w:t xml:space="preserve">Action:</w:t>
      </w:r>
      <w:r>
        <w:t xml:space="preserve">The team collaborated with local government bodies in Kuala Lumpur to provide students with real-world data sets.</w:t>
      </w:r>
    </w:p>
    <w:p>
      <w:pPr>
        <w:numPr>
          <w:ilvl w:val="0"/>
          <w:numId w:val="1002"/>
        </w:numPr>
        <w:pStyle w:val="Compact"/>
      </w:pPr>
      <w:r>
        <w:rPr>
          <w:bCs/>
          <w:b/>
        </w:rPr>
        <w:t xml:space="preserve">Outcome:</w:t>
      </w:r>
      <w:r>
        <w:t xml:space="preserve">A 15% increase in student participation in community service projects related to urban sustainability.</w:t>
      </w:r>
    </w:p>
    <w:bookmarkEnd w:id="27"/>
    <w:bookmarkStart w:id="28" w:name="discussion-cultural-integration"/>
    <w:p>
      <w:pPr>
        <w:pStyle w:val="Heading2"/>
      </w:pPr>
      <w:r>
        <w:t xml:space="preserve">5. Discussion: Cultural Integration</w:t>
      </w:r>
    </w:p>
    <w:p>
      <w:pPr>
        <w:pStyle w:val="FirstParagraph"/>
      </w:pPr>
      <w:r>
        <w:t xml:space="preserve">The diversity of Kuala Lumpur provides a rich testing ground for inclusive education. A</w:t>
      </w:r>
      <w:r>
        <w:t xml:space="preserve"> </w:t>
      </w:r>
      <w:r>
        <w:rPr>
          <w:bCs/>
          <w:b/>
        </w:rPr>
        <w:t xml:space="preserve">Professor</w:t>
      </w:r>
      <w:r>
        <w:t xml:space="preserve"> </w:t>
      </w:r>
      <w:r>
        <w:t xml:space="preserve">in this setting must balance international rigor with local relevance. Our findings indicate that the most successful academics are those who actively engage with the multicultural student body, respecting both Malay, Chinese, and Indian cultural heritages while promoting a unified academic identity.</w:t>
      </w:r>
    </w:p>
    <w:bookmarkEnd w:id="28"/>
    <w:bookmarkStart w:id="29" w:name="conclusion-and-recommendations"/>
    <w:p>
      <w:pPr>
        <w:pStyle w:val="Heading2"/>
      </w:pPr>
      <w:r>
        <w:t xml:space="preserve">6. Conclusion and Recommendations</w:t>
      </w:r>
    </w:p>
    <w:p>
      <w:pPr>
        <w:pStyle w:val="FirstParagraph"/>
      </w:pPr>
      <w:r>
        <w:t xml:space="preserve">The role of the academic leader in Malaysia's capital is evolving from mere teaching to holistic community engagement. We recommend that:</w:t>
      </w:r>
    </w:p>
    <w:p>
      <w:pPr>
        <w:numPr>
          <w:ilvl w:val="0"/>
          <w:numId w:val="1003"/>
        </w:numPr>
        <w:pStyle w:val="Compact"/>
      </w:pPr>
      <w:r>
        <w:t xml:space="preserve">Institutions increase funding for collaborative grants led by senior faculty.</w:t>
      </w:r>
    </w:p>
    <w:p>
      <w:pPr>
        <w:numPr>
          <w:ilvl w:val="0"/>
          <w:numId w:val="1003"/>
        </w:numPr>
        <w:pStyle w:val="Compact"/>
      </w:pPr>
      <w:r>
        <w:t xml:space="preserve">University policies support interdisciplinary work between humanities and sciences.</w:t>
      </w:r>
    </w:p>
    <w:p>
      <w:pPr>
        <w:numPr>
          <w:ilvl w:val="0"/>
          <w:numId w:val="1003"/>
        </w:numPr>
        <w:pStyle w:val="Compact"/>
      </w:pPr>
      <w:r>
        <w:t xml:space="preserve">Mentorship programs are formalized to ensure knowledge transfer from experienced Professors to early-career researchers in Kuala Lumpur.</w:t>
      </w:r>
    </w:p>
    <w:bookmarkEnd w:id="29"/>
    <w:bookmarkStart w:id="30" w:name="references-contact"/>
    <w:p>
      <w:pPr>
        <w:pStyle w:val="Heading2"/>
      </w:pPr>
      <w:r>
        <w:t xml:space="preserve">7. References &amp; Contact</w:t>
      </w:r>
    </w:p>
    <w:p>
      <w:pPr>
        <w:pStyle w:val="FirstParagraph"/>
      </w:pPr>
      <w:r>
        <w:t xml:space="preserve">(1) Malaysian Ministry of Higher Education. (2023). Strategic Plan for Higher Education 5.0.</w:t>
      </w:r>
      <w:r>
        <w:br/>
      </w:r>
      <w:r>
        <w:t xml:space="preserve">(2) Ismail, A., &amp; Tan, L. (2023). "Digital Transformation in Kuala Lumpur Universities." Journal of Asian Studies.</w:t>
      </w:r>
      <w:r>
        <w:br/>
      </w:r>
      <w:r>
        <w:t xml:space="preserve">For further inquiries regarding this poster presentation please contact: research@university.edu.my</w:t>
      </w:r>
    </w:p>
    <w:bookmarkEnd w:id="30"/>
    <w:p>
      <w:pPr>
        <w:pStyle w:val="BodyText"/>
      </w:pPr>
      <w:r>
        <w:t xml:space="preserve">This document is a simulated academic poster presentation designed for display at the International Conference on Educational Research held in Kuala Lumpur. All names and institutions are fictional except for general references to public data.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Malaysia Kuala Lumpur</dc:title>
  <dc:creator/>
  <dc:language>en</dc:language>
  <cp:keywords/>
  <dcterms:created xsi:type="dcterms:W3CDTF">2026-07-29T14:48:19Z</dcterms:created>
  <dcterms:modified xsi:type="dcterms:W3CDTF">2026-07-29T14:48:19Z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