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71e2b3a49cc3e6b8e3abd6521c659124cccac15"/>
    <w:p>
      <w:pPr>
        <w:pStyle w:val="Heading1"/>
      </w:pPr>
      <w:r>
        <w:t xml:space="preserve">The Modern Professor in New Zealand Auckland: Bridging Traditional Academia with Indigenous Epistemology</w:t>
      </w:r>
    </w:p>
    <w:p>
      <w:pPr>
        <w:pStyle w:val="FirstParagraph"/>
      </w:pPr>
      <w:r>
        <w:t xml:space="preserve">Department of Educational Leadership | University of Auckland, New Zealand</w:t>
      </w:r>
    </w:p>
    <w:bookmarkStart w:id="20" w:name="abstract"/>
    <w:p>
      <w:pPr>
        <w:pStyle w:val="Heading2"/>
      </w:pPr>
      <w:r>
        <w:t xml:space="preserve">Abstract</w:t>
      </w:r>
    </w:p>
    <w:p>
      <w:pPr>
        <w:pStyle w:val="FirstParagraph"/>
      </w:pPr>
      <w:r>
        <w:t xml:space="preserve">This poster presentation outlines the evolving pedagogical and research landscape for the Professor in New Zealand Auckland. As a global hub for academic excellence, Auckland presents unique challenges regarding decolonizing curricula and fostering biculturalism. This document explores how modern professors are integrating Te Ao Māori (the Māori world) into Western academic frameworks.</w:t>
      </w:r>
    </w:p>
    <w:bookmarkEnd w:id="20"/>
    <w:bookmarkStart w:id="21" w:name="introduction"/>
    <w:p>
      <w:pPr>
        <w:pStyle w:val="Heading2"/>
      </w:pPr>
      <w:r>
        <w:t xml:space="preserve">Introduction</w:t>
      </w:r>
    </w:p>
    <w:p>
      <w:pPr>
        <w:pStyle w:val="FirstParagraph"/>
      </w:pPr>
      <w:r>
        <w:rPr>
          <w:bCs/>
          <w:b/>
        </w:rPr>
        <w:t xml:space="preserve">The Academic Context in New Zealand Auckland</w:t>
      </w:r>
    </w:p>
    <w:p>
      <w:pPr>
        <w:pStyle w:val="BodyText"/>
      </w:pPr>
      <w:r>
        <w:t xml:space="preserve">Auckland stands as the largest urban center in New Zealand and a critical node for higher education. Within this vibrant academic ecosystem, the role of the Professor has shifted significantly over the last decade. Historically defined by Western epistemological dominance, contemporary academia in New Zealand Auckland demands a nuanced approach that respects Treaty of Waitangi obligations.</w:t>
      </w:r>
    </w:p>
    <w:p>
      <w:pPr>
        <w:pStyle w:val="BodyText"/>
      </w:pPr>
      <w:r>
        <w:t xml:space="preserve">The objective of this presentation is to examine how professors can maintain rigorous research standards while actively participating in social equity and cultural revitalization. By analyzing current case studies from leading institutions, we identify the necessary skills for the modern scholar operating in this specific geographic and cultural context.</w:t>
      </w:r>
    </w:p>
    <w:bookmarkEnd w:id="21"/>
    <w:bookmarkStart w:id="22" w:name="methodological-framework"/>
    <w:p>
      <w:pPr>
        <w:pStyle w:val="Heading2"/>
      </w:pPr>
      <w:r>
        <w:t xml:space="preserve">Methodological Framework</w:t>
      </w:r>
    </w:p>
    <w:p>
      <w:pPr>
        <w:pStyle w:val="FirstParagraph"/>
      </w:pPr>
      <w:r>
        <w:rPr>
          <w:bCs/>
          <w:b/>
        </w:rPr>
        <w:t xml:space="preserve">Evaluating the Professor's Role</w:t>
      </w:r>
    </w:p>
    <w:p>
      <w:pPr>
        <w:pStyle w:val="BodyText"/>
      </w:pPr>
      <w:r>
        <w:t xml:space="preserve">To understand the transformation of academic power structures in New Zealand Auckland, this poster employs a qualitative review of recent pedagogical literature and institutional policy changes. We utilize Kaupapa Māori as an overarching theoretical framework. This approach ensures that Māori interests are at the heart of the research process.</w:t>
      </w:r>
    </w:p>
    <w:p>
      <w:pPr>
        <w:numPr>
          <w:ilvl w:val="0"/>
          <w:numId w:val="1001"/>
        </w:numPr>
        <w:pStyle w:val="Compact"/>
      </w:pPr>
      <w:r>
        <w:rPr>
          <w:bCs/>
          <w:b/>
        </w:rPr>
        <w:t xml:space="preserve">Thematic Analysis:</w:t>
      </w:r>
      <w:r>
        <w:t xml:space="preserve"> </w:t>
      </w:r>
      <w:r>
        <w:t xml:space="preserve">Identifying common themes in professor-led research across disciplines.</w:t>
      </w:r>
    </w:p>
    <w:p>
      <w:pPr>
        <w:numPr>
          <w:ilvl w:val="0"/>
          <w:numId w:val="1001"/>
        </w:numPr>
        <w:pStyle w:val="Compact"/>
      </w:pPr>
      <w:r>
        <w:rPr>
          <w:bCs/>
          <w:b/>
        </w:rPr>
        <w:t xml:space="preserve">Bicultural Audit:</w:t>
      </w:r>
      <w:r>
        <w:t xml:space="preserve"> </w:t>
      </w:r>
      <w:r>
        <w:t xml:space="preserve">Reviewing how effectively academic staff integrate Māori perspectives into their teaching modules and community engagement strategies.</w:t>
      </w:r>
    </w:p>
    <w:bookmarkEnd w:id="22"/>
    <w:p>
      <w:pPr>
        <w:pStyle w:val="FirstParagraph"/>
      </w:pPr>
      <w:r>
        <w:br/>
      </w:r>
    </w:p>
    <w:bookmarkStart w:id="23" w:name="key-findings"/>
    <w:p>
      <w:pPr>
        <w:pStyle w:val="Heading2"/>
      </w:pPr>
      <w:r>
        <w:t xml:space="preserve">Key Findings</w:t>
      </w:r>
    </w:p>
    <w:p>
      <w:pPr>
        <w:pStyle w:val="FirstParagraph"/>
      </w:pPr>
      <w:r>
        <w:rPr>
          <w:bCs/>
          <w:b/>
        </w:rPr>
        <w:t xml:space="preserve">The Professor as a Cultural Broker</w:t>
      </w:r>
    </w:p>
    <w:p>
      <w:pPr>
        <w:pStyle w:val="BodyText"/>
      </w:pPr>
      <w:r>
        <w:t xml:space="preserve">Data indicates that successful professors in New Zealand Auckland act not merely as disseminators of knowledge, but as cultural brokers. They facilitate dialogue between Western scientific methodologies and Indigenous knowledge systems.</w:t>
      </w:r>
    </w:p>
    <w:p>
      <w:pPr>
        <w:numPr>
          <w:ilvl w:val="0"/>
          <w:numId w:val="1002"/>
        </w:numPr>
        <w:pStyle w:val="Compact"/>
      </w:pPr>
      <w:r>
        <w:rPr>
          <w:bCs/>
          <w:b/>
        </w:rPr>
        <w:t xml:space="preserve">Curricular Innovation:</w:t>
      </w:r>
      <w:r>
        <w:t xml:space="preserve"> </w:t>
      </w:r>
      <w:r>
        <w:t xml:space="preserve">Professors are increasingly required to co-design courses with local Māori iwi (tribes) to ensure relevance and respect.</w:t>
      </w:r>
    </w:p>
    <w:p>
      <w:pPr>
        <w:numPr>
          <w:ilvl w:val="0"/>
          <w:numId w:val="1002"/>
        </w:numPr>
        <w:pStyle w:val="Compact"/>
      </w:pPr>
      <w:r>
        <w:rPr>
          <w:bCs/>
          <w:b/>
        </w:rPr>
        <w:t xml:space="preserve">Mentorship:</w:t>
      </w:r>
      <w:r>
        <w:t xml:space="preserve"> </w:t>
      </w:r>
      <w:r>
        <w:t xml:space="preserve">There is a notable increase in mentorship programs designed specifically for Māori post-graduate students, aiming to produce the next generation of indigenous scholars.</w:t>
      </w:r>
    </w:p>
    <w:bookmarkEnd w:id="23"/>
    <w:bookmarkStart w:id="24" w:name="implications-for-academia"/>
    <w:p>
      <w:pPr>
        <w:pStyle w:val="Heading2"/>
      </w:pPr>
      <w:r>
        <w:t xml:space="preserve">Implications for Academia</w:t>
      </w:r>
    </w:p>
    <w:p>
      <w:pPr>
        <w:pStyle w:val="FirstParagraph"/>
      </w:pPr>
      <w:r>
        <w:rPr>
          <w:bCs/>
          <w:b/>
        </w:rPr>
        <w:t xml:space="preserve">Redefining Excellence in New Zealand Auckland</w:t>
      </w:r>
    </w:p>
    <w:p>
      <w:pPr>
        <w:pStyle w:val="BodyText"/>
      </w:pPr>
      <w:r>
        <w:t xml:space="preserve">The findings suggest that "academic excellence" is no longer solely defined by the quantity of publications or citation indices. In New Zealand Auckland, it is also measured by community impact and cultural competence.</w:t>
      </w:r>
    </w:p>
    <w:p>
      <w:pPr>
        <w:numPr>
          <w:ilvl w:val="0"/>
          <w:numId w:val="1003"/>
        </w:numPr>
        <w:pStyle w:val="Compact"/>
      </w:pPr>
      <w:r>
        <w:rPr>
          <w:bCs/>
          <w:b/>
        </w:rPr>
        <w:t xml:space="preserve">Pedagogical Shift:</w:t>
      </w:r>
      <w:r>
        <w:t xml:space="preserve"> </w:t>
      </w:r>
      <w:r>
        <w:t xml:space="preserve">Teaching must move from passive reception to active, relational learning (ako).</w:t>
      </w:r>
    </w:p>
    <w:p>
      <w:pPr>
        <w:numPr>
          <w:ilvl w:val="0"/>
          <w:numId w:val="1003"/>
        </w:numPr>
        <w:pStyle w:val="Compact"/>
      </w:pPr>
      <w:r>
        <w:rPr>
          <w:bCs/>
          <w:b/>
        </w:rPr>
        <w:t xml:space="preserve">Institutional Support:</w:t>
      </w:r>
      <w:r>
        <w:t xml:space="preserve"> </w:t>
      </w:r>
      <w:r>
        <w:t xml:space="preserve">Universities must provide robust training for professors on Tikanga Māori (Māori customs) and protocol.</w:t>
      </w:r>
    </w:p>
    <w:bookmarkEnd w:id="24"/>
    <w:p>
      <w:pPr>
        <w:pStyle w:val="FirstParagraph"/>
      </w:pPr>
      <w:r>
        <w:br/>
      </w:r>
    </w:p>
    <w:bookmarkStart w:id="25" w:name="conclusion"/>
    <w:p>
      <w:pPr>
        <w:pStyle w:val="Heading2"/>
      </w:pPr>
      <w:r>
        <w:t xml:space="preserve">Conclusion</w:t>
      </w:r>
    </w:p>
    <w:p>
      <w:pPr>
        <w:pStyle w:val="FirstParagraph"/>
      </w:pPr>
      <w:r>
        <w:t xml:space="preserve">The role of the Professor in New Zealand Auckland is fundamentally transformative. It requires a delicate balance between global academic standards and local cultural imperatives. By embracing biculturalism, professors can create a more inclusive, innovative, and effective learning environment.</w:t>
      </w:r>
    </w:p>
    <w:p>
      <w:pPr>
        <w:pStyle w:val="BodyText"/>
      </w:pPr>
      <w:r>
        <w:t xml:space="preserve">This poster presentation asserts that for academia to remain relevant in New Zealand Auckland, the professor must be willing to listen, adapt, and integrate diverse ways of knowing. The future of education lies in this harmonious convergence of tradition and modernity.</w:t>
      </w:r>
    </w:p>
    <w:bookmarkEnd w:id="25"/>
    <w:bookmarkStart w:id="26" w:name="selected-references"/>
    <w:p>
      <w:pPr>
        <w:pStyle w:val="Heading2"/>
      </w:pPr>
      <w:r>
        <w:t xml:space="preserve">Selected References</w:t>
      </w:r>
    </w:p>
    <w:p>
      <w:pPr>
        <w:numPr>
          <w:ilvl w:val="0"/>
          <w:numId w:val="1004"/>
        </w:numPr>
        <w:pStyle w:val="Compact"/>
      </w:pPr>
      <w:r>
        <w:t xml:space="preserve">Harris, A., &amp; Rutherford, E. (Eds.). (2019). Kaupapa Māori Success through Schooling: Education and Change.</w:t>
      </w:r>
    </w:p>
    <w:p>
      <w:pPr>
        <w:numPr>
          <w:ilvl w:val="0"/>
          <w:numId w:val="1004"/>
        </w:numPr>
        <w:pStyle w:val="Compact"/>
      </w:pPr>
      <w:r>
        <w:t xml:space="preserve">Smyth, L., et al. (2013). 'Aotearoa New Zealand's education research priorities'. NZ Council for Educational Research.</w:t>
      </w:r>
    </w:p>
    <w:p>
      <w:pPr>
        <w:numPr>
          <w:ilvl w:val="0"/>
          <w:numId w:val="1004"/>
        </w:numPr>
        <w:pStyle w:val="Compact"/>
      </w:pPr>
      <w:r>
        <w:t xml:space="preserve">Tuhiwai Smith, L. (2012). Decolonizing Methodologies: Research and Indigenous Peoples.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Professor in New Zealand Auckland</dc:title>
  <dc:creator/>
  <dc:language>en</dc:language>
  <cp:keywords/>
  <dcterms:created xsi:type="dcterms:W3CDTF">2026-07-29T16:27:30Z</dcterms:created>
  <dcterms:modified xsi:type="dcterms:W3CDTF">2026-07-29T16:27:30Z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