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Professorship</w:t>
      </w:r>
      <w:r>
        <w:t xml:space="preserve"> </w:t>
      </w:r>
      <w:r>
        <w:t xml:space="preserve">in</w:t>
      </w:r>
      <w:r>
        <w:t xml:space="preserve"> </w:t>
      </w:r>
      <w:r>
        <w:t xml:space="preserve">Turkey</w:t>
      </w:r>
      <w:r>
        <w:t xml:space="preserve"> </w:t>
      </w:r>
      <w:r>
        <w:t xml:space="preserve">Istanbul</w:t>
      </w:r>
    </w:p>
    <w:bookmarkStart w:id="28" w:name="X3d26d49f0f2c5ec17c778edaf0b5ec26f36df2c"/>
    <w:p>
      <w:pPr>
        <w:pStyle w:val="Heading1"/>
      </w:pPr>
      <w:r>
        <w:t xml:space="preserve">Bridging Continents, Shaping Futures:</w:t>
      </w:r>
      <w:r>
        <w:br/>
      </w:r>
      <w:r>
        <w:t xml:space="preserve">The Strategic Role of Professorial Leadership in Turkey Istanbul</w:t>
      </w:r>
    </w:p>
    <w:p>
      <w:pPr>
        <w:pStyle w:val="FirstParagraph"/>
      </w:pPr>
      <w:r>
        <w:rPr>
          <w:bCs/>
          <w:b/>
        </w:rPr>
        <w:t xml:space="preserve">Abstract:</w:t>
      </w:r>
      <w:r>
        <w:br/>
      </w:r>
      <w:r>
        <w:t xml:space="preserve">This poster presentation explores the multifaceted role of a</w:t>
      </w:r>
      <w:r>
        <w:t xml:space="preserve"> </w:t>
      </w:r>
      <w:r>
        <w:rPr>
          <w:bCs/>
          <w:b/>
        </w:rPr>
        <w:t xml:space="preserve">Professor</w:t>
      </w:r>
      <w:r>
        <w:t xml:space="preserve"> </w:t>
      </w:r>
      <w:r>
        <w:t xml:space="preserve">within the dynamic academic and cultural landscape of</w:t>
      </w:r>
      <w:r>
        <w:t xml:space="preserve"> </w:t>
      </w:r>
      <w:r>
        <w:rPr>
          <w:bCs/>
          <w:b/>
        </w:rPr>
        <w:t xml:space="preserve">Turkey Istanbul</w:t>
      </w:r>
      <w:r>
        <w:t xml:space="preserve">. As one of the most populous and historically significant cities in Europe and Asia, Istanbul serves as a unique laboratory for higher education research. This document outlines the pedagogical responsibilities, research imperatives, and community engagement strategies essential for an academic leader operating at this intersection. It argues that a</w:t>
      </w:r>
      <w:r>
        <w:t xml:space="preserve"> </w:t>
      </w:r>
      <w:r>
        <w:rPr>
          <w:bCs/>
          <w:b/>
        </w:rPr>
        <w:t xml:space="preserve">Professor</w:t>
      </w:r>
      <w:r>
        <w:t xml:space="preserve"> </w:t>
      </w:r>
      <w:r>
        <w:t xml:space="preserve">in</w:t>
      </w:r>
      <w:r>
        <w:t xml:space="preserve"> </w:t>
      </w:r>
      <w:r>
        <w:rPr>
          <w:bCs/>
          <w:b/>
        </w:rPr>
        <w:t xml:space="preserve">Turkey Istanbul</w:t>
      </w:r>
      <w:r>
        <w:t xml:space="preserve"> </w:t>
      </w:r>
      <w:r>
        <w:t xml:space="preserve">must not only excel in traditional scholarship but also act as a cultural ambassador and international collaborator, leveraging the city's geopolitical position to foster global academic dialogue.</w:t>
      </w:r>
    </w:p>
    <w:bookmarkStart w:id="20" w:name="Xef3c506ddd8b96e8e79be5d01e84eb951f1f5cd"/>
    <w:p>
      <w:pPr>
        <w:pStyle w:val="Heading2"/>
      </w:pPr>
      <w:r>
        <w:t xml:space="preserve">I. Introduction: The Unique Context of Turkey Istanbul</w:t>
      </w:r>
    </w:p>
    <w:p>
      <w:pPr>
        <w:pStyle w:val="FirstParagraph"/>
      </w:pPr>
      <w:r>
        <w:t xml:space="preserve">To understand the impact of a</w:t>
      </w:r>
      <w:r>
        <w:t xml:space="preserve"> </w:t>
      </w:r>
      <w:r>
        <w:rPr>
          <w:bCs/>
          <w:b/>
        </w:rPr>
        <w:t xml:space="preserve">Professor</w:t>
      </w:r>
      <w:r>
        <w:t xml:space="preserve">, one must first appreciate the specific environment of their institution and location.</w:t>
      </w:r>
      <w:r>
        <w:t xml:space="preserve"> </w:t>
      </w:r>
      <w:r>
        <w:rPr>
          <w:bCs/>
          <w:b/>
        </w:rPr>
        <w:t xml:space="preserve">Turkey Istanbul</w:t>
      </w:r>
      <w:r>
        <w:t xml:space="preserve"> </w:t>
      </w:r>
      <w:r>
        <w:t xml:space="preserve">is not merely a geographic coordinate; it is a conceptual bridge between East and West, tradition and modernity, Islam and secularism. For an academic community situated here, the challenges are distinct from those in Western Europe or North America. The city boasts one of the highest concentrations of universities per capita globally. Consequently, competition for resources is fierce, but so is the opportunity for interdisciplinary collaboration.</w:t>
      </w:r>
    </w:p>
    <w:p>
      <w:pPr>
        <w:pStyle w:val="BodyText"/>
      </w:pPr>
      <w:r>
        <w:t xml:space="preserve">In this context, a</w:t>
      </w:r>
      <w:r>
        <w:t xml:space="preserve"> </w:t>
      </w:r>
      <w:r>
        <w:rPr>
          <w:bCs/>
          <w:b/>
        </w:rPr>
        <w:t xml:space="preserve">Professor</w:t>
      </w:r>
      <w:r>
        <w:t xml:space="preserve"> </w:t>
      </w:r>
      <w:r>
        <w:t xml:space="preserve">plays a critical role in maintaining academic standards while navigating local regulatory frameworks and societal expectations. The presence of international students from the Balkans, the Middle East, Central Asia, and beyond creates a microcosm of global diversity on campus. This demographic reality demands that faculty members adopt inclusive pedagogical approaches that resonate across cultural boundaries.</w:t>
      </w:r>
    </w:p>
    <w:bookmarkEnd w:id="20"/>
    <w:bookmarkStart w:id="23" w:name="X6d47546ac689a5b1582189c6289d326433f2969"/>
    <w:p>
      <w:pPr>
        <w:pStyle w:val="Heading2"/>
      </w:pPr>
      <w:r>
        <w:t xml:space="preserve">II. Pedagogical Excellence in a Transcontinental Classroom</w:t>
      </w:r>
    </w:p>
    <w:p>
      <w:pPr>
        <w:pStyle w:val="FirstParagraph"/>
      </w:pPr>
      <w:r>
        <w:t xml:space="preserve">The primary mandate of any academic is teaching, but in</w:t>
      </w:r>
      <w:r>
        <w:t xml:space="preserve"> </w:t>
      </w:r>
      <w:r>
        <w:rPr>
          <w:bCs/>
          <w:b/>
        </w:rPr>
        <w:t xml:space="preserve">Turkey Istanbul</w:t>
      </w:r>
      <w:r>
        <w:t xml:space="preserve">, this role requires specialized adaptation. A modern classroom here is often multilingual and multicultural. Therefore, curriculum design must go beyond content delivery; it must focus on intercultural competence development.</w:t>
      </w:r>
    </w:p>
    <w:bookmarkStart w:id="21" w:name="curriculum-localization"/>
    <w:p>
      <w:pPr>
        <w:pStyle w:val="Heading3"/>
      </w:pPr>
      <w:r>
        <w:t xml:space="preserve">Curriculum Localization</w:t>
      </w:r>
    </w:p>
    <w:p>
      <w:pPr>
        <w:pStyle w:val="FirstParagraph"/>
      </w:pPr>
      <w:r>
        <w:t xml:space="preserve">A</w:t>
      </w:r>
      <w:r>
        <w:t xml:space="preserve"> </w:t>
      </w:r>
      <w:r>
        <w:rPr>
          <w:bCs/>
          <w:b/>
        </w:rPr>
        <w:t xml:space="preserve">Professor</w:t>
      </w:r>
      <w:r>
        <w:t xml:space="preserve"> </w:t>
      </w:r>
      <w:r>
        <w:t xml:space="preserve">in this region should integrate case studies relevant to the Balkan and Middle Eastern markets, ensuring that theoretical knowledge is applied to the local economic and social reality of Turkey.</w:t>
      </w:r>
    </w:p>
    <w:bookmarkEnd w:id="21"/>
    <w:bookmarkStart w:id="22" w:name="digital-integration"/>
    <w:p>
      <w:pPr>
        <w:pStyle w:val="Heading3"/>
      </w:pPr>
      <w:r>
        <w:t xml:space="preserve">Digital Integration</w:t>
      </w:r>
    </w:p>
    <w:p>
      <w:pPr>
        <w:pStyle w:val="FirstParagraph"/>
      </w:pPr>
      <w:r>
        <w:t xml:space="preserve">Turkey has a young, tech-savvy population. Professors must leverage digital tools not just for administration, but to create hybrid learning environments that attract international talent who may attend physically or virtually.</w:t>
      </w:r>
    </w:p>
    <w:bookmarkEnd w:id="22"/>
    <w:bookmarkEnd w:id="23"/>
    <w:bookmarkStart w:id="24" w:name="X6f128d94f1ecc4af42b40d1f1010f127ea0ed1b"/>
    <w:p>
      <w:pPr>
        <w:pStyle w:val="Heading2"/>
      </w:pPr>
      <w:r>
        <w:t xml:space="preserve">III. Research Agendas with Global Relevance</w:t>
      </w:r>
    </w:p>
    <w:p>
      <w:pPr>
        <w:pStyle w:val="FirstParagraph"/>
      </w:pPr>
      <w:r>
        <w:t xml:space="preserve">Research output is a key metric for academic prestige, but in the context of</w:t>
      </w:r>
      <w:r>
        <w:t xml:space="preserve"> </w:t>
      </w:r>
      <w:r>
        <w:rPr>
          <w:bCs/>
          <w:b/>
        </w:rPr>
        <w:t xml:space="preserve">Turkey Istanbul</w:t>
      </w:r>
      <w:r>
        <w:t xml:space="preserve">, relevance is equally important. A leading academic must identify research topics that address regional challenges while contributing to global knowledge bases. Areas of particular interest include urban sociology, architectural heritage preservation, geopolitical relations between NATO and non-NATO states in the region, and renewable energy transitions specific to the Mediterranean climate.</w:t>
      </w:r>
    </w:p>
    <w:p>
      <w:pPr>
        <w:pStyle w:val="BodyText"/>
      </w:pPr>
      <w:r>
        <w:t xml:space="preserve">Furthermore, collaboration with institutions across Europe is vital. The Erasmus+ program has long connected</w:t>
      </w:r>
      <w:r>
        <w:t xml:space="preserve"> </w:t>
      </w:r>
      <w:r>
        <w:rPr>
          <w:bCs/>
          <w:b/>
        </w:rPr>
        <w:t xml:space="preserve">Turkey Istanbul</w:t>
      </w:r>
      <w:r>
        <w:t xml:space="preserve">-based universities with their European counterparts. A proactive approach involves initiating joint research papers and co-taught modules that enhance the visibility of the host institution on the world stage. By publishing in high-impact journals, a</w:t>
      </w:r>
      <w:r>
        <w:t xml:space="preserve"> </w:t>
      </w:r>
      <w:r>
        <w:rPr>
          <w:bCs/>
          <w:b/>
        </w:rPr>
        <w:t xml:space="preserve">Professor</w:t>
      </w:r>
      <w:r>
        <w:t xml:space="preserve"> </w:t>
      </w:r>
      <w:r>
        <w:t xml:space="preserve">signals that rigorous scholarship can flourish within the Turkish academic ecosystem despite external political complexities.</w:t>
      </w:r>
    </w:p>
    <w:bookmarkEnd w:id="24"/>
    <w:bookmarkStart w:id="25" w:name="X1b8e9b160422ac0705cf1dd4c52e34eb7318a49"/>
    <w:p>
      <w:pPr>
        <w:pStyle w:val="Heading2"/>
      </w:pPr>
      <w:r>
        <w:t xml:space="preserve">IV. Community Engagement and Social Responsibility</w:t>
      </w:r>
    </w:p>
    <w:p>
      <w:pPr>
        <w:pStyle w:val="FirstParagraph"/>
      </w:pPr>
      <w:r>
        <w:t xml:space="preserve">Academic institutions are increasingly expected to serve as engines of social mobility and civic engagement. In a city as dense and complex as Istanbul, this responsibility is magnified. A</w:t>
      </w:r>
      <w:r>
        <w:t xml:space="preserve"> </w:t>
      </w:r>
      <w:r>
        <w:rPr>
          <w:bCs/>
          <w:b/>
        </w:rPr>
        <w:t xml:space="preserve">Professor</w:t>
      </w:r>
      <w:r>
        <w:t xml:space="preserve">, therefore, must engage in "public scholarship." This involves:</w:t>
      </w:r>
    </w:p>
    <w:p>
      <w:pPr>
        <w:numPr>
          <w:ilvl w:val="0"/>
          <w:numId w:val="1001"/>
        </w:numPr>
        <w:pStyle w:val="Compact"/>
      </w:pPr>
      <w:r>
        <w:rPr>
          <w:bCs/>
          <w:b/>
        </w:rPr>
        <w:t xml:space="preserve">Mentorship:</w:t>
      </w:r>
      <w:r>
        <w:t xml:space="preserve"> </w:t>
      </w:r>
      <w:r>
        <w:t xml:space="preserve">Guiding students from diverse socioeconomic backgrounds to navigate the competitive job market.</w:t>
      </w:r>
    </w:p>
    <w:p>
      <w:pPr>
        <w:numPr>
          <w:ilvl w:val="0"/>
          <w:numId w:val="1001"/>
        </w:numPr>
        <w:pStyle w:val="Compact"/>
      </w:pPr>
      <w:r>
        <w:rPr>
          <w:bCs/>
          <w:b/>
        </w:rPr>
        <w:t xml:space="preserve">Cultural Diplomacy:</w:t>
      </w:r>
      <w:r>
        <w:t xml:space="preserve"> </w:t>
      </w:r>
      <w:r>
        <w:t xml:space="preserve">Hosting seminars and public lectures that bring together artists, policymakers, and scholars from different nations.</w:t>
      </w:r>
    </w:p>
    <w:p>
      <w:pPr>
        <w:numPr>
          <w:ilvl w:val="0"/>
          <w:numId w:val="1001"/>
        </w:numPr>
        <w:pStyle w:val="Compact"/>
      </w:pPr>
      <w:r>
        <w:rPr>
          <w:bCs/>
          <w:b/>
        </w:rPr>
        <w:t xml:space="preserve">Sustainability Initiatives:</w:t>
      </w:r>
      <w:r>
        <w:t xml:space="preserve"> </w:t>
      </w:r>
      <w:r>
        <w:t xml:space="preserve">Leading campus-wide green initiatives that serve as models for the city of Istanbul regarding waste management and energy efficiency.</w:t>
      </w:r>
    </w:p>
    <w:bookmarkEnd w:id="25"/>
    <w:bookmarkStart w:id="26" w:name="v.-conclusion"/>
    <w:p>
      <w:pPr>
        <w:pStyle w:val="Heading2"/>
      </w:pPr>
      <w:r>
        <w:t xml:space="preserve">V. Conclusion</w:t>
      </w:r>
    </w:p>
    <w:p>
      <w:pPr>
        <w:pStyle w:val="FirstParagraph"/>
      </w:pPr>
      <w:r>
        <w:rPr>
          <w:bCs/>
          <w:b/>
        </w:rPr>
        <w:t xml:space="preserve">The Synthesis of Role and Place</w:t>
      </w:r>
    </w:p>
    <w:p>
      <w:pPr>
        <w:pStyle w:val="BodyText"/>
      </w:pPr>
      <w:r>
        <w:t xml:space="preserve">In conclusion, the position of a Professor in Turkey Istanbul is one of immense privilege and profound responsibility. It requires an academic who is not only a specialist in their field but also a diplomat, a mentor, and an innovator. By embracing the unique transcontinental identity of Istanbul, academics can create educational experiences that are deeply rooted locally yet globally connected. The future of higher education in this region depends on faculty members who actively participate in shaping its narrative—transforming the city from merely a location into a hub of intellectual exchange and cultural synthesis.</w:t>
      </w:r>
    </w:p>
    <w:bookmarkEnd w:id="26"/>
    <w:bookmarkStart w:id="27" w:name="vi.-references-further-reading"/>
    <w:p>
      <w:pPr>
        <w:pStyle w:val="Heading2"/>
      </w:pPr>
      <w:r>
        <w:t xml:space="preserve">VI. References &amp; Further Reading</w:t>
      </w:r>
    </w:p>
    <w:p>
      <w:pPr>
        <w:numPr>
          <w:ilvl w:val="0"/>
          <w:numId w:val="1002"/>
        </w:numPr>
        <w:pStyle w:val="Compact"/>
      </w:pPr>
      <w:r>
        <w:t xml:space="preserve">Kaya, A., &amp; Yilmaz, S. (2018). *Higher Education Dynamics in Istanbul: Challenges and Opportunities*. Journal of Turkish Studies.</w:t>
      </w:r>
    </w:p>
    <w:p>
      <w:pPr>
        <w:numPr>
          <w:ilvl w:val="0"/>
          <w:numId w:val="1002"/>
        </w:numPr>
        <w:pStyle w:val="Compact"/>
      </w:pPr>
      <w:r>
        <w:t xml:space="preserve">Güneş, E. (2020). *Intercultural Pedagogy in Multinational Classrooms*. Ankara University Press.</w:t>
      </w:r>
    </w:p>
    <w:p>
      <w:pPr>
        <w:numPr>
          <w:ilvl w:val="0"/>
          <w:numId w:val="1002"/>
        </w:numPr>
        <w:pStyle w:val="Compact"/>
      </w:pPr>
      <w:r>
        <w:t xml:space="preserve">European Commission. (2023). *Erasmus+ Country Reports: Turkey Focus*. Brussels: EU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Professorship in Turkey Istanbul</dc:title>
  <dc:creator/>
  <dc:language>en</dc:language>
  <cp:keywords/>
  <dcterms:created xsi:type="dcterms:W3CDTF">2026-07-29T12:25:05Z</dcterms:created>
  <dcterms:modified xsi:type="dcterms:W3CDTF">2026-07-29T12:25:05Z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