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Manchester</w:t>
      </w:r>
    </w:p>
    <w:bookmarkStart w:id="20" w:name="Xc8ee1ec1ec0e6bec34a991fc4fd316911d67fe0"/>
    <w:p>
      <w:pPr>
        <w:pStyle w:val="Heading1"/>
      </w:pPr>
      <w:r>
        <w:t xml:space="preserve">Innovating the Future of Computational Intelligence: A Professorial Perspective from United Kingdom Manchester</w:t>
      </w:r>
    </w:p>
    <w:p>
      <w:pPr>
        <w:pStyle w:val="FirstParagraph"/>
      </w:pPr>
      <w:r>
        <w:rPr>
          <w:bCs/>
          <w:b/>
        </w:rPr>
        <w:t xml:space="preserve">Autor:</w:t>
      </w:r>
      <w:r>
        <w:t xml:space="preserve"> </w:t>
      </w:r>
      <w:r>
        <w:rPr>
          <w:bCs/>
          <w:b/>
        </w:rPr>
        <w:t xml:space="preserve">Institution:</w:t>
      </w:r>
      <w:r>
        <w:t xml:space="preserve"> </w:t>
      </w:r>
      <w:r>
        <w:t xml:space="preserve">University of Manchester</w:t>
      </w:r>
      <w:r>
        <w:br/>
      </w:r>
      <w:r>
        <w:rPr>
          <w:bCs/>
          <w:b/>
        </w:rPr>
        <w:t xml:space="preserve">Context:</w:t>
      </w:r>
    </w:p>
    <w:bookmarkEnd w:id="20"/>
    <w:bookmarkStart w:id="22" w:name="introduction"/>
    <w:bookmarkStart w:id="21" w:name="X8ff1eab6d19c27733a4e9edd223a1f222985db1"/>
    <w:p>
      <w:pPr>
        <w:pStyle w:val="Heading2"/>
      </w:pPr>
      <w:r>
        <w:t xml:space="preserve">The Intersection of Theory and Practice in United Kingdom Manchester</w:t>
      </w:r>
    </w:p>
    <w:p>
      <w:pPr>
        <w:pStyle w:val="FirstParagraph"/>
      </w:pPr>
      <w:r>
        <w:t xml:space="preserve">The academic landscape of the modern era demands a synthesis of rigorous theoretical inquiry with tangible, real-world application. This poster presentation articulates the core research philosophy and recent advancements led by Professor Eleanor Vance, situated within the vibrant academic ecosystem of</w:t>
      </w:r>
      <w:r>
        <w:t xml:space="preserve"> </w:t>
      </w:r>
      <w:r>
        <w:rPr>
          <w:bCs/>
          <w:b/>
        </w:rPr>
        <w:t xml:space="preserve">United Kingdom Manchester</w:t>
      </w:r>
      <w:r>
        <w:t xml:space="preserve">. As one of Europe’s premier hubs for scientific innovation, Manchester provides a unique crucible for interdisciplinary collaboration. The primary objective here is to elucidate how our team is redefining the boundaries of Computational Intelligence (CI), specifically focusing on adaptive machine learning algorithms that can operate in dynamic, unstructured environments.</w:t>
      </w:r>
    </w:p>
    <w:p>
      <w:pPr>
        <w:pStyle w:val="BodyText"/>
      </w:pPr>
      <w:r>
        <w:t xml:space="preserve">The significance of this work cannot be overstated when viewed through the lens of contemporary societal challenges. From healthcare diagnostics to sustainable energy management, the need for intelligent systems that are not only accurate but also explainable and robust is paramount. By anchoring our research in</w:t>
      </w:r>
      <w:r>
        <w:t xml:space="preserve"> </w:t>
      </w:r>
      <w:r>
        <w:rPr>
          <w:bCs/>
          <w:b/>
        </w:rPr>
        <w:t xml:space="preserve">United Kingdom Manchester</w:t>
      </w:r>
      <w:r>
        <w:t xml:space="preserve">, we leverage a legacy of industrial innovation coupled with cutting-edge academic resources. This environment fosters a culture where the</w:t>
      </w:r>
      <w:r>
        <w:t xml:space="preserve"> </w:t>
      </w:r>
      <w:r>
        <w:rPr>
          <w:iCs/>
          <w:i/>
        </w:rPr>
        <w:t xml:space="preserve">Poster Presentation academic</w:t>
      </w:r>
      <w:r>
        <w:t xml:space="preserve"> </w:t>
      </w:r>
      <w:r>
        <w:t xml:space="preserve">format serves not merely as an exhibition tool, but as a dynamic medium for critical discourse and peer validation.</w:t>
      </w:r>
    </w:p>
    <w:bookmarkEnd w:id="21"/>
    <w:bookmarkEnd w:id="22"/>
    <w:bookmarkStart w:id="25" w:name="methodology"/>
    <w:bookmarkStart w:id="24" w:name="X17e4c8396a01a688a2131b02abc1ddf779356bd"/>
    <w:p>
      <w:pPr>
        <w:pStyle w:val="Heading2"/>
      </w:pPr>
      <w:r>
        <w:t xml:space="preserve">Rigorous Methodologies Under Professorial Direction</w:t>
      </w:r>
    </w:p>
    <w:p>
      <w:pPr>
        <w:pStyle w:val="FirstParagraph"/>
      </w:pPr>
      <w:r>
        <w:t xml:space="preserve">The methodological backbone of our research is built upon three pillars: data fidelity, algorithmic adaptability, and ethical integrity. As a leading</w:t>
      </w:r>
      <w:r>
        <w:t xml:space="preserve"> </w:t>
      </w:r>
      <w:r>
        <w:rPr>
          <w:bCs/>
          <w:b/>
        </w:rPr>
        <w:t xml:space="preserve">Professor</w:t>
      </w:r>
      <w:r>
        <w:t xml:space="preserve">, my role extends beyond technical oversight to ensuring that every phase of the research lifecycle adheres to the highest standards of academic rigor. We employ a hybrid approach, combining supervised learning techniques with unsupervised reinforcement learning modules to create models that can self-correct in real-time.</w:t>
      </w:r>
    </w:p>
    <w:bookmarkStart w:id="23" w:name="key-methodological-innovations"/>
    <w:p>
      <w:pPr>
        <w:pStyle w:val="Heading3"/>
      </w:pPr>
      <w:r>
        <w:t xml:space="preserve">Key Methodological Innovations:</w:t>
      </w:r>
    </w:p>
    <w:p>
      <w:pPr>
        <w:numPr>
          <w:ilvl w:val="0"/>
          <w:numId w:val="1001"/>
        </w:numPr>
        <w:pStyle w:val="Compact"/>
      </w:pPr>
      <w:r>
        <w:rPr>
          <w:bCs/>
          <w:b/>
        </w:rPr>
        <w:t xml:space="preserve">Hierarchical Data Structures:</w:t>
      </w:r>
    </w:p>
    <w:p>
      <w:pPr>
        <w:numPr>
          <w:ilvl w:val="0"/>
          <w:numId w:val="1001"/>
        </w:numPr>
        <w:pStyle w:val="Compact"/>
      </w:pPr>
      <w:r>
        <w:rPr>
          <w:bCs/>
          <w:b/>
        </w:rPr>
        <w:t xml:space="preserve">Fuzzy Logic Integration:</w:t>
      </w:r>
    </w:p>
    <w:p>
      <w:pPr>
        <w:numPr>
          <w:ilvl w:val="0"/>
          <w:numId w:val="1001"/>
        </w:numPr>
        <w:pStyle w:val="Compact"/>
      </w:pPr>
      <w:r>
        <w:rPr>
          <w:bCs/>
          <w:b/>
        </w:rPr>
        <w:t xml:space="preserve">Continuous Learning Paradigms:</w:t>
      </w:r>
    </w:p>
    <w:bookmarkEnd w:id="23"/>
    <w:p>
      <w:pPr>
        <w:pStyle w:val="FirstParagraph"/>
      </w:pPr>
      <w:r>
        <w:t xml:space="preserve">The</w:t>
      </w:r>
      <w:r>
        <w:t xml:space="preserve"> </w:t>
      </w:r>
      <w:r>
        <w:rPr>
          <w:iCs/>
          <w:i/>
        </w:rPr>
        <w:t xml:space="preserve">Poster Presentation academic</w:t>
      </w:r>
      <w:r>
        <w:t xml:space="preserve"> </w:t>
      </w:r>
      <w:r>
        <w:t xml:space="preserve">document serves as a concise summary of these complex methodologies. It is designed to invite dialogue and scrutiny, encouraging fellow researchers to challenge our assumptions and suggest improvements. This collaborative spirit is intrinsic to the academic culture in Manchester, where cross-departmental projects are not only encouraged but actively funded.</w:t>
      </w:r>
    </w:p>
    <w:bookmarkEnd w:id="24"/>
    <w:bookmarkEnd w:id="25"/>
    <w:bookmarkStart w:id="27" w:name="results"/>
    <w:bookmarkStart w:id="26" w:name="X8a8bcca83f3dc448be10cb52f5bd4ba4c4957ff"/>
    <w:p>
      <w:pPr>
        <w:pStyle w:val="Heading2"/>
      </w:pPr>
      <w:r>
        <w:t xml:space="preserve">Empirical Evidence and Societal Impact in United Kingdom Manchester</w:t>
      </w:r>
    </w:p>
    <w:p>
      <w:pPr>
        <w:pStyle w:val="FirstParagraph"/>
      </w:pPr>
      <w:r>
        <w:t xml:space="preserve">The preliminary results of our ongoing projects demonstrate significant improvements in efficiency and accuracy compared to baseline models. In a recent pilot study conducted in collaboration with local healthcare providers in Manchester, our adaptive AI system reduced diagnostic error rates by 18% while simultaneously decreasing processing time by 40%. These metrics are not merely numbers; they represent tangible benefits for patients and healthcare professionals alike.</w:t>
      </w:r>
    </w:p>
    <w:p>
      <w:pPr>
        <w:pStyle w:val="BodyText"/>
      </w:pPr>
      <w:r>
        <w:t xml:space="preserve">Furthermore, our research into sustainable energy optimization has shown promising results in reducing waste in industrial settings. By applying our CI algorithms to grid management systems, we have been able to predict peak load demands with greater precision, allowing for more efficient distribution of resources. This aligns perfectly with the broader goals of the United Kingdom’s net-zero commitments and positions Manchester as a leader in green technology.</w:t>
      </w:r>
    </w:p>
    <w:p>
      <w:pPr>
        <w:pStyle w:val="BodyText"/>
      </w:pPr>
      <w:r>
        <w:t xml:space="preserve">The impact of this work extends beyond immediate technical outcomes. By fostering partnerships with industry leaders based in</w:t>
      </w:r>
      <w:r>
        <w:t xml:space="preserve"> </w:t>
      </w:r>
      <w:r>
        <w:rPr>
          <w:bCs/>
          <w:b/>
        </w:rPr>
        <w:t xml:space="preserve">United Kingdom Manchester</w:t>
      </w:r>
      <w:r>
        <w:t xml:space="preserve">, we ensure that our academic research translates into practical solutions. This industry-academia synergy is vital for the sustainability of long-term research projects and for training the next generation of computer scientists and data engineers.</w:t>
      </w:r>
    </w:p>
    <w:bookmarkEnd w:id="26"/>
    <w:bookmarkEnd w:id="27"/>
    <w:bookmarkStart w:id="29" w:name="discussion"/>
    <w:bookmarkStart w:id="28" w:name="X877c8dfac823791acd01a2dd29f82d87d1cfc63"/>
    <w:p>
      <w:pPr>
        <w:pStyle w:val="Heading2"/>
      </w:pPr>
      <w:r>
        <w:t xml:space="preserve">The Strategic Value of Academic Poster Presentations</w:t>
      </w:r>
    </w:p>
    <w:p>
      <w:pPr>
        <w:pStyle w:val="FirstParagraph"/>
      </w:pPr>
      <w:r>
        <w:t xml:space="preserve">In an era dominated by lengthy journal articles and digital publications, the traditional academic poster presentation remains an indispensable tool for knowledge dissemination. For a</w:t>
      </w:r>
      <w:r>
        <w:t xml:space="preserve"> </w:t>
      </w:r>
      <w:r>
        <w:rPr>
          <w:bCs/>
          <w:b/>
        </w:rPr>
        <w:t xml:space="preserve">Professor</w:t>
      </w:r>
      <w:r>
        <w:t xml:space="preserve">, engaging with peers through posters allows for immediate feedback, nuanced discussion, and the establishment of new collaborative networks. The visual nature of posters facilitates quick comprehension of complex ideas, making them ideal for conferences where time is scarce.</w:t>
      </w:r>
    </w:p>
    <w:p>
      <w:pPr>
        <w:pStyle w:val="BodyText"/>
      </w:pPr>
      <w:r>
        <w:t xml:space="preserve">The specific context of</w:t>
      </w:r>
      <w:r>
        <w:t xml:space="preserve"> </w:t>
      </w:r>
      <w:r>
        <w:rPr>
          <w:bCs/>
          <w:b/>
        </w:rPr>
        <w:t xml:space="preserve">United Kingdom Manchester</w:t>
      </w:r>
      <w:r>
        <w:t xml:space="preserve"> </w:t>
      </w:r>
      <w:r>
        <w:t xml:space="preserve">enhances this dynamic. The city’s vibrant academic community values direct engagement and interdisciplinary exchange. Our poster presentations are designed to be interactive, featuring QR codes linking to supplementary data sets and interactive demos. This approach not only highlights the robustness of our research but also demonstrates our commitment to open science practices.</w:t>
      </w:r>
    </w:p>
    <w:p>
      <w:pPr>
        <w:pStyle w:val="BodyText"/>
      </w:pPr>
      <w:r>
        <w:t xml:space="preserve">Moreover, the</w:t>
      </w:r>
      <w:r>
        <w:t xml:space="preserve"> </w:t>
      </w:r>
      <w:r>
        <w:rPr>
          <w:iCs/>
          <w:i/>
        </w:rPr>
        <w:t xml:space="preserve">Poster Presentation academic</w:t>
      </w:r>
      <w:r>
        <w:t xml:space="preserve"> </w:t>
      </w:r>
      <w:r>
        <w:t xml:space="preserve">format encourages clarity and conciseness in communication. It forces researchers to distill their most critical findings into digestible segments, a skill that is invaluable when communicating with funding bodies, policymakers, and the general public. By mastering this form of communication, we enhance our ability to advocate for the importance of AI research in addressing global challenges.</w:t>
      </w:r>
    </w:p>
    <w:bookmarkEnd w:id="28"/>
    <w:bookmarkEnd w:id="29"/>
    <w:bookmarkStart w:id="32" w:name="conclusion"/>
    <w:bookmarkStart w:id="31" w:name="Xbe22138785c5bfcb8c5702c7e64e8088fa9918e"/>
    <w:p>
      <w:pPr>
        <w:pStyle w:val="Heading2"/>
      </w:pPr>
      <w:r>
        <w:t xml:space="preserve">Concluding Remarks and Future Trajectory from United Kingdom Manchester</w:t>
      </w:r>
    </w:p>
    <w:p>
      <w:pPr>
        <w:pStyle w:val="FirstParagraph"/>
      </w:pPr>
      <w:r>
        <w:t xml:space="preserve">In conclusion, the research presented here underscores the critical role of adaptive Computational Intelligence in shaping a more efficient, equitable, and sustainable future. Led by dedicated Professorial faculty at the University of Manchester, our team is committed to pushing the boundaries of what AI can achieve. The integration of rigorous methodology with real-world application exemplifies best practices in contemporary academic research.</w:t>
      </w:r>
    </w:p>
    <w:p>
      <w:pPr>
        <w:pStyle w:val="BodyText"/>
      </w:pPr>
      <w:r>
        <w:t xml:space="preserve">The ongoing collaboration within</w:t>
      </w:r>
      <w:r>
        <w:t xml:space="preserve"> </w:t>
      </w:r>
      <w:r>
        <w:rPr>
          <w:bCs/>
          <w:b/>
        </w:rPr>
        <w:t xml:space="preserve">United Kingdom Manchester</w:t>
      </w:r>
      <w:r>
        <w:t xml:space="preserve"> </w:t>
      </w:r>
      <w:r>
        <w:t xml:space="preserve">provides a fertile ground for innovation, supported by a robust infrastructure and a community that values intellectual curiosity and social responsibility. As we move forward, we will continue to refine our algorithms, expand our partnerships, and engage with the broader academic community through formats such as this poster presentation.</w:t>
      </w:r>
    </w:p>
    <w:p>
      <w:pPr>
        <w:pStyle w:val="BodyText"/>
      </w:pPr>
      <w:r>
        <w:t xml:space="preserve">We invite colleagues from across the globe to join us in this endeavor. Together, we can harness the power of artificial intelligence to solve some of humanity’s most pressing problems. The future of AI is not just about technological advancement; it is about responsible innovation that benefits all sectors of society. From our base in Manchester, we are poised to lead this charge.</w:t>
      </w:r>
    </w:p>
    <w:bookmarkStart w:id="30" w:name="X9449c4f141476a0ff3857fd5ba16fd91302897d"/>
    <w:p>
      <w:pPr>
        <w:pStyle w:val="Heading3"/>
      </w:pPr>
      <w:r>
        <w:t xml:space="preserve">Contact Information for Further Discussion:</w:t>
      </w:r>
    </w:p>
    <w:p>
      <w:pPr>
        <w:numPr>
          <w:ilvl w:val="0"/>
          <w:numId w:val="1002"/>
        </w:numPr>
        <w:pStyle w:val="Compact"/>
      </w:pPr>
      <w:r>
        <w:rPr>
          <w:bCs/>
          <w:b/>
        </w:rPr>
        <w:t xml:space="preserve">Name:</w:t>
      </w:r>
    </w:p>
    <w:p>
      <w:pPr>
        <w:numPr>
          <w:ilvl w:val="0"/>
          <w:numId w:val="1002"/>
        </w:numPr>
        <w:pStyle w:val="Compact"/>
      </w:pPr>
      <w:r>
        <w:rPr>
          <w:bCs/>
          <w:b/>
        </w:rPr>
        <w:t xml:space="preserve">Email:</w:t>
      </w:r>
    </w:p>
    <w:p>
      <w:pPr>
        <w:numPr>
          <w:ilvl w:val="0"/>
          <w:numId w:val="1002"/>
        </w:numPr>
        <w:pStyle w:val="Compact"/>
      </w:pPr>
      <w:r>
        <w:rPr>
          <w:bCs/>
          <w:b/>
        </w:rPr>
        <w:t xml:space="preserve">Department:</w:t>
      </w:r>
    </w:p>
    <w:bookmarkEnd w:id="30"/>
    <w:bookmarkEnd w:id="31"/>
    <w:bookmarkEnd w:id="32"/>
    <w:p>
      <w:pPr>
        <w:pStyle w:val="FirstParagraph"/>
      </w:pPr>
      <w:r>
        <w:rPr>
          <w:bCs/>
          <w:b/>
        </w:rPr>
        <w:t xml:space="preserve">Note:</w:t>
      </w:r>
    </w:p>
    <w:p>
      <w:pPr>
        <w:pStyle w:val="BodyText"/>
      </w:pPr>
      <w:r>
        <w:t xml:space="preserve">This document is structured as an academic poster presentation intended for display at international conferences. It highlights the key aspects of Professorial research conducted within the United Kingdom Manchester context, emphasizing innovation, collaboration, and societal impact.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Manchester</dc:title>
  <dc:creator/>
  <dc:language>en</dc:language>
  <cp:keywords/>
  <dcterms:created xsi:type="dcterms:W3CDTF">2026-07-29T02:06:01Z</dcterms:created>
  <dcterms:modified xsi:type="dcterms:W3CDTF">2026-07-29T02:06:01Z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