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Research</w:t>
      </w:r>
      <w:r>
        <w:t xml:space="preserve"> </w:t>
      </w:r>
      <w:r>
        <w:t xml:space="preserve">in</w:t>
      </w:r>
      <w:r>
        <w:t xml:space="preserve"> </w:t>
      </w:r>
      <w:r>
        <w:t xml:space="preserve">Miami</w:t>
      </w:r>
    </w:p>
    <w:bookmarkStart w:id="20" w:name="Xf02bbd97db3b337957f107e06d6b63ce29cbf54"/>
    <w:p>
      <w:pPr>
        <w:pStyle w:val="Heading1"/>
      </w:pPr>
      <w:r>
        <w:t xml:space="preserve">Bridging Theory and Practice in the Sun Belt: A Professor’s Critical Analysis of Urban Resilience in the United States Miami Region</w:t>
      </w:r>
    </w:p>
    <w:p>
      <w:pPr>
        <w:pStyle w:val="FirstParagraph"/>
      </w:pPr>
      <w:hyperlink w:anchor="placeholder_link">
        <w:r>
          <w:rPr>
            <w:rStyle w:val="Hyperlink"/>
            <w:bCs/>
            <w:b/>
          </w:rPr>
          <w:t xml:space="preserve">Professor Jonathan A. Sterling, Ph.D.</w:t>
        </w:r>
      </w:hyperlink>
      <w:r>
        <w:br/>
      </w:r>
      <w:r>
        <w:t xml:space="preserve">Department of Urban Planning &amp; Environmental Policy</w:t>
      </w:r>
      <w:r>
        <w:br/>
      </w:r>
      <w:r>
        <w:t xml:space="preserve">University of South Florida – College Park Campus</w:t>
      </w:r>
      <w:r>
        <w:br/>
      </w:r>
      <w:r>
        <w:t xml:space="preserve">Special Guest Speaker for the Annual Southeast Geopolitical Symposium</w:t>
      </w:r>
      <w:r>
        <w:br/>
      </w:r>
    </w:p>
    <w:p>
      <w:pPr>
        <w:pStyle w:val="BodyText"/>
      </w:pPr>
      <w:r>
        <w:t xml:space="preserve">Location: Miami Beach Convention Center, United States | Miami, FL</w:t>
      </w:r>
    </w:p>
    <w:bookmarkEnd w:id="20"/>
    <w:bookmarkStart w:id="22" w:name="introduction"/>
    <w:bookmarkStart w:id="21" w:name="i.-introduction-and-contextual-framework"/>
    <w:p>
      <w:pPr>
        <w:pStyle w:val="Heading2"/>
      </w:pPr>
      <w:r>
        <w:t xml:space="preserve">I. Introduction and Contextual Framework</w:t>
      </w:r>
    </w:p>
    <w:p>
      <w:pPr>
        <w:pStyle w:val="FirstParagraph"/>
      </w:pPr>
      <w:r>
        <w:t xml:space="preserve">The contemporary academic landscape in the United States is currently grappling with one of its most pressing challenges: the intersection of rapid urbanization, climate change adaptation, and socio-economic disparity. This poster presentation serves as a comprehensive overview of my recent longitudinal study conducted within the dynamic geographic and cultural context of</w:t>
      </w:r>
      <w:r>
        <w:t xml:space="preserve"> </w:t>
      </w:r>
      <w:r>
        <w:rPr>
          <w:bCs/>
          <w:b/>
        </w:rPr>
        <w:t xml:space="preserve">United States Miami</w:t>
      </w:r>
      <w:r>
        <w:t xml:space="preserve">. As a seasoned</w:t>
      </w:r>
      <w:r>
        <w:t xml:space="preserve"> </w:t>
      </w:r>
      <w:r>
        <w:rPr>
          <w:bCs/>
          <w:b/>
        </w:rPr>
        <w:t xml:space="preserve">Professor</w:t>
      </w:r>
      <w:r>
        <w:t xml:space="preserve"> </w:t>
      </w:r>
      <w:r>
        <w:t xml:space="preserve">with over two decades of experience in metropolitan studies, I have dedicated my career to understanding how coastal megacities can maintain economic vitality while ensuring environmental sustainability.</w:t>
      </w:r>
    </w:p>
    <w:p>
      <w:pPr>
        <w:pStyle w:val="BodyText"/>
      </w:pPr>
      <w:r>
        <w:t xml:space="preserve">Miami stands as a unique laboratory for urban resilience. It is not merely a city; it is a global hub for finance, culture, and tourism that sits precariously on the edge of rising sea levels. This presentation outlines the methodologies used to assess urban planning policies in this region, offering critical insights that are applicable far beyond the borders of Florida. By focusing on</w:t>
      </w:r>
      <w:r>
        <w:t xml:space="preserve"> </w:t>
      </w:r>
      <w:r>
        <w:rPr>
          <w:bCs/>
          <w:b/>
        </w:rPr>
        <w:t xml:space="preserve">United States Miami</w:t>
      </w:r>
      <w:r>
        <w:t xml:space="preserve">, we can extract universal principles relevant to coastal cities worldwide, from Jakarta to Rotterdam.</w:t>
      </w:r>
    </w:p>
    <w:bookmarkEnd w:id="21"/>
    <w:bookmarkEnd w:id="22"/>
    <w:bookmarkStart w:id="26" w:name="methodology"/>
    <w:bookmarkStart w:id="25" w:name="ii.-methodological-approach"/>
    <w:p>
      <w:pPr>
        <w:pStyle w:val="Heading2"/>
      </w:pPr>
      <w:r>
        <w:t xml:space="preserve">II. Methodological Approach</w:t>
      </w:r>
    </w:p>
    <w:p>
      <w:pPr>
        <w:pStyle w:val="FirstParagraph"/>
      </w:pPr>
      <w:r>
        <w:t xml:space="preserve">To ensure robust and reproducible results, the research employed a mixed-methods approach combining quantitative spatial analysis with qualitative ethnographic interviews. As a leading academic voice in this field, I argue that data alone cannot explain the human dimension of urban displacement.</w:t>
      </w:r>
    </w:p>
    <w:bookmarkStart w:id="23" w:name="a.-quantitative-spatial-analysis"/>
    <w:p>
      <w:pPr>
        <w:pStyle w:val="Heading3"/>
      </w:pPr>
      <w:r>
        <w:t xml:space="preserve">A. Quantitative Spatial Analysis</w:t>
      </w:r>
    </w:p>
    <w:p>
      <w:pPr>
        <w:pStyle w:val="FirstParagraph"/>
      </w:pPr>
      <w:r>
        <w:t xml:space="preserve">We utilized high-resolution LiDAR data to map flood risks across three distinct neighborhoods in Miami: Little Haiti, Downtown Brickell, and South Beach. By overlaying this hydrological data with demographic census tracts from the United States Census Bureau, we identified significant correlations between elevation levels and property values. This analysis reveals a troubling trend where vulnerable populations are increasingly displaced from high-risk zones due to gentrification pressures.</w:t>
      </w:r>
    </w:p>
    <w:bookmarkEnd w:id="23"/>
    <w:bookmarkStart w:id="24" w:name="b.-qualitative-ethnography"/>
    <w:p>
      <w:pPr>
        <w:pStyle w:val="Heading3"/>
      </w:pPr>
      <w:r>
        <w:t xml:space="preserve">B. Qualitative Ethnography</w:t>
      </w:r>
    </w:p>
    <w:p>
      <w:pPr>
        <w:pStyle w:val="FirstParagraph"/>
      </w:pPr>
      <w:r>
        <w:t xml:space="preserve">In parallel, I conducted over 150 semi-structured interviews with local residents, urban planners, and policy makers in</w:t>
      </w:r>
      <w:r>
        <w:t xml:space="preserve"> </w:t>
      </w:r>
      <w:r>
        <w:rPr>
          <w:bCs/>
          <w:b/>
        </w:rPr>
        <w:t xml:space="preserve">United States Miami</w:t>
      </w:r>
      <w:r>
        <w:t xml:space="preserve">. These narratives provided crucial context regarding community identity and the psychological impact of climate anxiety. The integration of these two datasets allowed for a holistic understanding of how top-down planning efforts often clash with bottom-up community needs.</w:t>
      </w:r>
    </w:p>
    <w:bookmarkEnd w:id="24"/>
    <w:bookmarkEnd w:id="25"/>
    <w:bookmarkEnd w:id="26"/>
    <w:bookmarkStart w:id="31" w:name="findings"/>
    <w:bookmarkStart w:id="30" w:name="iii.-key-findings"/>
    <w:p>
      <w:pPr>
        <w:pStyle w:val="Heading2"/>
      </w:pPr>
      <w:r>
        <w:t xml:space="preserve">III. Key Findings</w:t>
      </w:r>
    </w:p>
    <w:p>
      <w:pPr>
        <w:pStyle w:val="FirstParagraph"/>
      </w:pPr>
      <w:r>
        <w:t xml:space="preserve">The results of this study challenge several prevailing assumptions about sustainable urban development in the tropics. The findings are categorized into three primary themes, which form the core of this academic poster presentation.</w:t>
      </w:r>
    </w:p>
    <w:p>
      <w:pPr>
        <w:pStyle w:val="BlockText"/>
      </w:pPr>
      <w:r>
        <w:t xml:space="preserve">"Resilience is not just about engineering solutions; it is fundamentally a social contract."</w:t>
      </w:r>
    </w:p>
    <w:bookmarkStart w:id="27" w:name="a.-the-infrastructure-paradox"/>
    <w:p>
      <w:pPr>
        <w:pStyle w:val="Heading3"/>
      </w:pPr>
      <w:r>
        <w:t xml:space="preserve">A. The Infrastructure Paradox</w:t>
      </w:r>
    </w:p>
    <w:p>
      <w:pPr>
        <w:pStyle w:val="FirstParagraph"/>
      </w:pPr>
      <w:r>
        <w:t xml:space="preserve">We found that while significant capital has been invested in hard infrastructure (such as sea walls and pump stations) in wealthy areas of Miami, these structures often exacerbate flooding in neighboring, lower-income communities by diverting water flow. This "infrastructure paradox" highlights the need for equitable distribution of adaptive resources.</w:t>
      </w:r>
    </w:p>
    <w:bookmarkEnd w:id="27"/>
    <w:bookmarkStart w:id="28" w:name="X9d0fa798e8f4092a5a3c058a4bbdb487e937055"/>
    <w:p>
      <w:pPr>
        <w:pStyle w:val="Heading3"/>
      </w:pPr>
      <w:r>
        <w:t xml:space="preserve">B. Gentrification as a Displacement Mechanism</w:t>
      </w:r>
    </w:p>
    <w:p>
      <w:pPr>
        <w:pStyle w:val="FirstParagraph"/>
      </w:pPr>
      <w:r>
        <w:t xml:space="preserve">Data indicates that climate resilience investments are acting as a catalyst for green gentrification. In several Miami neighborhoods, the introduction of parks and improved drainage systems has led to immediate spikes in real estate prices, forcing long-term residents out. This finding is critical for</w:t>
      </w:r>
      <w:r>
        <w:t xml:space="preserve"> </w:t>
      </w:r>
      <w:r>
        <w:rPr>
          <w:bCs/>
          <w:b/>
        </w:rPr>
        <w:t xml:space="preserve">Professor</w:t>
      </w:r>
      <w:r>
        <w:t xml:space="preserve">-level discourse on the ethical responsibilities of urban planning.</w:t>
      </w:r>
    </w:p>
    <w:bookmarkEnd w:id="28"/>
    <w:bookmarkStart w:id="29" w:name="c.-policy-fragmentation"/>
    <w:p>
      <w:pPr>
        <w:pStyle w:val="Heading3"/>
      </w:pPr>
      <w:r>
        <w:t xml:space="preserve">C. Policy Fragmentation</w:t>
      </w:r>
    </w:p>
    <w:p>
      <w:pPr>
        <w:pStyle w:val="FirstParagraph"/>
      </w:pPr>
      <w:r>
        <w:t xml:space="preserve">The regulatory landscape in the United States federal state structure creates fragmented governance. Municipal codes in Miami often conflict with state-level building regulations, leading to implementation gaps that hinder effective climate adaptation strategies.</w:t>
      </w:r>
    </w:p>
    <w:bookmarkEnd w:id="29"/>
    <w:bookmarkEnd w:id="30"/>
    <w:bookmarkEnd w:id="31"/>
    <w:bookmarkStart w:id="33" w:name="discussion"/>
    <w:bookmarkStart w:id="32" w:name="X3df248c0839638640240d02035bdbe92b83df7e"/>
    <w:p>
      <w:pPr>
        <w:pStyle w:val="Heading2"/>
      </w:pPr>
      <w:r>
        <w:t xml:space="preserve">IV. Discussion and Implications for Practice</w:t>
      </w:r>
    </w:p>
    <w:p>
      <w:pPr>
        <w:pStyle w:val="FirstParagraph"/>
      </w:pPr>
      <w:r>
        <w:t xml:space="preserve">This section of the poster presentation bridges the gap between academic theory and practical application. The role of a modern academic is not merely to observe but to propose viable pathways forward.</w:t>
      </w:r>
    </w:p>
    <w:p>
      <w:pPr>
        <w:numPr>
          <w:ilvl w:val="0"/>
          <w:numId w:val="1001"/>
        </w:numPr>
        <w:pStyle w:val="Compact"/>
      </w:pPr>
      <w:r>
        <w:rPr>
          <w:bCs/>
          <w:b/>
        </w:rPr>
        <w:t xml:space="preserve">Equitable Zoning Laws:</w:t>
      </w:r>
      <w:r>
        <w:t xml:space="preserve"> </w:t>
      </w:r>
      <w:r>
        <w:t xml:space="preserve">We recommend implementing inclusionary zoning policies that mandate affordable housing units in new developments near resilience infrastructure.</w:t>
      </w:r>
    </w:p>
    <w:p>
      <w:pPr>
        <w:numPr>
          <w:ilvl w:val="0"/>
          <w:numId w:val="1001"/>
        </w:numPr>
        <w:pStyle w:val="Compact"/>
      </w:pPr>
      <w:r>
        <w:rPr>
          <w:bCs/>
          <w:b/>
        </w:rPr>
        <w:t xml:space="preserve">Community-Led Design:</w:t>
      </w:r>
      <w:r>
        <w:t xml:space="preserve"> </w:t>
      </w:r>
      <w:r>
        <w:t xml:space="preserve">Urban planning processes must be democratized. Involving local communities in the design phase of public works projects ensures that interventions are culturally relevant and socially accepted.</w:t>
      </w:r>
    </w:p>
    <w:p>
      <w:pPr>
        <w:numPr>
          <w:ilvl w:val="0"/>
          <w:numId w:val="1001"/>
        </w:numPr>
        <w:pStyle w:val="Compact"/>
      </w:pPr>
      <w:r>
        <w:rPr>
          <w:bCs/>
          <w:b/>
        </w:rPr>
        <w:t xml:space="preserve">Federal-Local Cooperation:</w:t>
      </w:r>
      <w:r>
        <w:t xml:space="preserve"> </w:t>
      </w:r>
      <w:r>
        <w:t xml:space="preserve">There is an urgent need for a unified framework between federal agencies (like FEMA) and local municipalities in</w:t>
      </w:r>
      <w:r>
        <w:t xml:space="preserve"> </w:t>
      </w:r>
      <w:r>
        <w:rPr>
          <w:bCs/>
          <w:b/>
        </w:rPr>
        <w:t xml:space="preserve">United States Miami</w:t>
      </w:r>
      <w:r>
        <w:t xml:space="preserve"> </w:t>
      </w:r>
      <w:r>
        <w:t xml:space="preserve">to streamline funding and regulatory approvals.</w:t>
      </w:r>
    </w:p>
    <w:p>
      <w:pPr>
        <w:pStyle w:val="FirstParagraph"/>
      </w:pPr>
      <w:r>
        <w:t xml:space="preserve">The implications extend beyond geography. For any city located in a high-risk zone, the lessons learned from this study offer a blueprint for integrating social equity into climate adaptation plans. The academic community must advocate for policies that protect the most vulnerable, rather than prioritizing asset protection for the wealthy.</w:t>
      </w:r>
    </w:p>
    <w:bookmarkEnd w:id="32"/>
    <w:bookmarkEnd w:id="33"/>
    <w:bookmarkStart w:id="35" w:name="conclusion"/>
    <w:bookmarkStart w:id="34" w:name="v.-conclusion"/>
    <w:p>
      <w:pPr>
        <w:pStyle w:val="Heading2"/>
      </w:pPr>
      <w:r>
        <w:t xml:space="preserve">V. Conclusion</w:t>
      </w:r>
    </w:p>
    <w:p>
      <w:pPr>
        <w:pStyle w:val="FirstParagraph"/>
      </w:pPr>
      <w:r>
        <w:t xml:space="preserve">In conclusion, this poster presentation underscores the complexity of urban resilience in coastal environments. The case of Miami serves as a microcosm for global challenges. As a dedicated academic leader and a respected member of the scholarly community, I assert that our understanding of these dynamics must evolve from purely technical solutions to integrated socio-ecological frameworks.</w:t>
      </w:r>
    </w:p>
    <w:p>
      <w:pPr>
        <w:pStyle w:val="BodyText"/>
      </w:pPr>
      <w:r>
        <w:t xml:space="preserve">The work done here contributes significantly to the broader discourse on sustainable development in the United States. It calls for immediate action from policymakers, urban designers, and fellow researchers. We must move beyond rhetoric and implement policies that are both environmentally sound and socially just. The future of our cities depends on our ability to learn from places like Miami today.</w:t>
      </w:r>
    </w:p>
    <w:bookmarkEnd w:id="34"/>
    <w:bookmarkEnd w:id="35"/>
    <w:bookmarkStart w:id="37" w:name="references"/>
    <w:bookmarkStart w:id="36" w:name="vi.-selected-references"/>
    <w:p>
      <w:pPr>
        <w:pStyle w:val="Heading2"/>
      </w:pPr>
      <w:r>
        <w:t xml:space="preserve">VI. Selected References</w:t>
      </w:r>
    </w:p>
    <w:p>
      <w:pPr>
        <w:numPr>
          <w:ilvl w:val="0"/>
          <w:numId w:val="1002"/>
        </w:numPr>
        <w:pStyle w:val="Compact"/>
      </w:pPr>
      <w:r>
        <w:t xml:space="preserve">Sterling, J.A. (2023). *Rising Tides, Rising Costs: Economic Displacement in Coastal Florida*. Journal of Urban Ecology.</w:t>
      </w:r>
    </w:p>
    <w:p>
      <w:pPr>
        <w:numPr>
          <w:ilvl w:val="0"/>
          <w:numId w:val="1002"/>
        </w:numPr>
        <w:pStyle w:val="Compact"/>
      </w:pPr>
      <w:r>
        <w:t xml:space="preserve">Miami-Dade County Office of Resilience. (2024). *Comprehensive Master Plan for Climate Adaptation*.</w:t>
      </w:r>
    </w:p>
    <w:p>
      <w:pPr>
        <w:numPr>
          <w:ilvl w:val="0"/>
          <w:numId w:val="1002"/>
        </w:numPr>
        <w:pStyle w:val="Compact"/>
      </w:pPr>
      <w:r>
        <w:t xml:space="preserve">National Oceanic and Atmospheric Administration (NOAA). (2023). *Sea Level Rise Technical Report*. United States Department of Commerce.</w:t>
      </w:r>
    </w:p>
    <w:bookmarkEnd w:id="36"/>
    <w:bookmarkEnd w:id="37"/>
    <w:p>
      <w:pPr>
        <w:pStyle w:val="FirstParagraph"/>
      </w:pPr>
      <w:r>
        <w:rPr>
          <w:bCs/>
          <w:b/>
        </w:rPr>
        <w:t xml:space="preserve">Contact Information:</w:t>
      </w:r>
      <w:r>
        <w:br/>
      </w:r>
      <w:r>
        <w:t xml:space="preserve">Professor Jonathan A. Sterling</w:t>
      </w:r>
      <w:r>
        <w:br/>
      </w:r>
      <w:r>
        <w:t xml:space="preserve">Email: j.sterling@university.edu | Phone: +1 (305) 555-0199</w:t>
      </w:r>
      <w:r>
        <w:br/>
      </w:r>
      <w:r>
        <w:t xml:space="preserve">Presentation available at the United States Miami Academic Conference Hall B.</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Research in Miami</dc:title>
  <dc:creator/>
  <dc:language>en</dc:language>
  <cp:keywords/>
  <dcterms:created xsi:type="dcterms:W3CDTF">2026-07-29T15:08:31Z</dcterms:created>
  <dcterms:modified xsi:type="dcterms:W3CDTF">2026-07-29T15:08:31Z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