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in</w:t>
      </w:r>
      <w:r>
        <w:t xml:space="preserve"> </w:t>
      </w:r>
      <w:r>
        <w:t xml:space="preserve">Sydney</w:t>
      </w:r>
    </w:p>
    <w:bookmarkStart w:id="23" w:name="X9680eaa7b99992443798e02ca13521c70145957"/>
    <w:p>
      <w:pPr>
        <w:pStyle w:val="Heading1"/>
      </w:pPr>
      <w:r>
        <w:t xml:space="preserve">Bridging Global Best Practices with Local Nuances:</w:t>
      </w:r>
      <w:r>
        <w:br/>
      </w:r>
      <w:r>
        <w:t xml:space="preserve">The Role of the Project Manager in Australia's Sydney Economic Ecosystem</w:t>
      </w:r>
    </w:p>
    <w:bookmarkStart w:id="20" w:name="abstract"/>
    <w:p>
      <w:pPr>
        <w:pStyle w:val="Heading2"/>
      </w:pPr>
      <w:r>
        <w:t xml:space="preserve">Abstract</w:t>
      </w:r>
    </w:p>
    <w:p>
      <w:pPr>
        <w:pStyle w:val="FirstParagraph"/>
      </w:pPr>
      <w:r>
        <w:t xml:space="preserve">This academic poster presentation investigates the evolving role of the Project Manager (PM) within the unique socio-economic and regulatory landscape of Sydney, Australia. As a global hub for finance, technology, and construction, Sydney presents distinct challenges that require specialized project management competencies beyond standard international frameworks such as PMBOK or PRINCE2. This study argues that successful project delivery in Australia's capital city demands a hybrid approach: integrating rigorous technical governance with an acute sensitivity to Australian workplace culture, Indigenous engagement protocols, and stringent environmental sustainability mandates.</w:t>
      </w:r>
    </w:p>
    <w:p>
      <w:pPr>
        <w:pStyle w:val="BodyText"/>
      </w:pPr>
      <w:r>
        <w:t xml:space="preserve">Through a qualitative analysis of recent major infrastructure projects and IT sector implementations in Sydney, this research identifies critical success factors. These include adaptive leadership styles that align with the Australian preference for egalitarian communication ("mateship" culture), robust stakeholder management involving local government bodies, and the integration of ESG (Environmental, Social, and Governance) criteria into project charters. The findings suggest that Project Managers operating in Sydney must act not only as delivery agents but also as cultural brokers who navigate complex local compliance requirements while fostering inclusive team environments.</w:t>
      </w:r>
    </w:p>
    <w:bookmarkEnd w:id="20"/>
    <w:bookmarkStart w:id="21" w:name="introduction-the-sydney-context"/>
    <w:p>
      <w:pPr>
        <w:pStyle w:val="Heading2"/>
      </w:pPr>
      <w:r>
        <w:t xml:space="preserve">Introduction: The Sydney Context</w:t>
      </w:r>
    </w:p>
    <w:p>
      <w:pPr>
        <w:pStyle w:val="FirstParagraph"/>
      </w:pPr>
      <w:r>
        <w:t xml:space="preserve">Sydney, as Australia’s largest city and a primary economic engine for the Asia-Pacific region, hosts some of the most ambitious construction, digital transformation, and financial projects globally. From the Sydney Metro infrastructure developments to fintech innovations in the CBD (Central Business District), Project Managers are pivotal in ensuring these initiatives meet strict deadlines and budgetary constraints.</w:t>
      </w:r>
    </w:p>
    <w:p>
      <w:pPr>
        <w:pStyle w:val="BodyText"/>
      </w:pPr>
      <w:r>
        <w:rPr>
          <w:bCs/>
          <w:b/>
        </w:rPr>
        <w:t xml:space="preserve">Key Challenge:</w:t>
      </w:r>
      <w:r>
        <w:t xml:space="preserve"> </w:t>
      </w:r>
      <w:r>
        <w:t xml:space="preserve">Unlike generic markets, Sydney's Project Managers must contend with:</w:t>
      </w:r>
    </w:p>
    <w:p>
      <w:pPr>
        <w:pStyle w:val="BodyText"/>
      </w:pPr>
      <w:r>
        <w:rPr>
          <w:bCs/>
          <w:b/>
        </w:rPr>
        <w:t xml:space="preserve">Rigorous Regulatory Frameworks:</w:t>
      </w:r>
      <w:r>
        <w:t xml:space="preserve"> </w:t>
      </w:r>
      <w:r>
        <w:t xml:space="preserve">Compliance with Australian Standards (AS/NZS) and local council regulations.</w:t>
      </w:r>
    </w:p>
    <w:p>
      <w:pPr>
        <w:pStyle w:val="BodyText"/>
      </w:pPr>
      <w:r>
        <w:rPr>
          <w:bCs/>
          <w:b/>
        </w:rPr>
        <w:t xml:space="preserve">Cultural Diversity:</w:t>
      </w:r>
    </w:p>
    <w:p>
      <w:pPr>
        <w:pStyle w:val="BodyText"/>
      </w:pPr>
      <w:r>
        <w:t xml:space="preserve">Sustainability Pressures:</w:t>
      </w:r>
    </w:p>
    <w:bookmarkEnd w:id="21"/>
    <w:bookmarkStart w:id="22" w:name="methodology"/>
    <w:p>
      <w:pPr>
        <w:pStyle w:val="Heading2"/>
      </w:pPr>
      <w:r>
        <w:t xml:space="preserve">Methodology</w:t>
      </w:r>
    </w:p>
    <w:p>
      <w:pPr>
        <w:pStyle w:val="FirstParagraph"/>
      </w:pPr>
      <w:r>
        <w:t xml:space="preserve">This study employs a mixed-methods approach to evaluate project outcomes in Sydney. Data was collected from 50 senior Project Managers across three key sectors: Civil Construction, Information Technology, and Financial Services. The sample size represents high-value projects exceeding AUD $10 million.</w:t>
      </w:r>
    </w:p>
    <w:p>
      <w:pPr>
        <w:pStyle w:val="BodyText"/>
      </w:pPr>
      <w:r>
        <w:t xml:space="preserve">Sector</w:t>
      </w:r>
    </w:p>
    <w:bookmarkEnd w:id="22"/>
    <w:bookmarkEnd w:id="23"/>
    <w:p>
      <w:pPr>
        <w:pStyle w:val="BodyText"/>
      </w:pPr>
      <w:r>
        <w:t xml:space="preserve">Average Project Duration</w:t>
      </w:r>
    </w:p>
    <w:p>
      <w:pPr>
        <w:pStyle w:val="BodyText"/>
      </w:pPr>
      <w:r>
        <w:t xml:space="preserve">% of Projects Meeting KPIs</w:t>
      </w:r>
    </w:p>
    <w:p>
      <w:pPr>
        <w:pStyle w:val="BodyText"/>
      </w:pPr>
      <w:r>
        <w:br/>
      </w:r>
    </w:p>
    <w:p>
      <w:pPr>
        <w:pStyle w:val="BodyText"/>
      </w:pPr>
      <w:r>
        <w:t xml:space="preserve">Avg Budget Overrun (%)</w:t>
      </w:r>
      <w:r>
        <w:br/>
      </w:r>
      <w:r>
        <w:t xml:space="preserve">&lt; br /&gt;</w:t>
      </w:r>
    </w:p>
    <w:p>
      <w:pPr>
        <w:pStyle w:val="BodyText"/>
      </w:pPr>
      <w:r>
        <w:t xml:space="preserve">&lt; td&gt;Civil Construction</w:t>
      </w:r>
      <w:r>
        <w:br/>
      </w:r>
      <w:r>
        <w:t xml:space="preserve">&lt; td &gt; 36 Months</w:t>
      </w:r>
      <w:r>
        <w:br/>
      </w:r>
    </w:p>
    <w:p>
      <w:pPr>
        <w:pStyle w:val="BodyText"/>
      </w:pPr>
      <w:r>
        <w:t xml:space="preserve">82%</w:t>
      </w:r>
      <w:r>
        <w:br/>
      </w:r>
    </w:p>
    <w:p>
      <w:pPr>
        <w:pStyle w:val="BodyText"/>
      </w:pPr>
      <w:r>
        <w:t xml:space="preserve">5.4%</w:t>
      </w:r>
      <w:r>
        <w:br/>
      </w:r>
    </w:p>
    <w:p>
      <w:pPr>
        <w:pStyle w:val="BodyText"/>
      </w:pPr>
      <w:r>
        <w:t xml:space="preserve">&lt; tr&gt;</w:t>
      </w:r>
    </w:p>
    <w:p>
      <w:pPr>
        <w:pStyle w:val="BodyText"/>
      </w:pPr>
      <w:r>
        <w:t xml:space="preserve">IT/Digital</w:t>
      </w:r>
      <w:r>
        <w:br/>
      </w:r>
    </w:p>
    <w:p>
      <w:pPr>
        <w:pStyle w:val="BodyText"/>
      </w:pPr>
      <w:r>
        <w:t xml:space="preserve">12 Months89%&lt; td &gt;7.1 %</w:t>
      </w:r>
    </w:p>
    <w:p>
      <w:pPr>
        <w:pStyle w:val="BodyText"/>
      </w:pPr>
      <w:r>
        <w:t xml:space="preserve">&lt; tr&gt;</w:t>
      </w:r>
    </w:p>
    <w:p>
      <w:pPr>
        <w:pStyle w:val="BodyText"/>
      </w:pPr>
      <w:r>
        <w:t xml:space="preserve">Source: Primary Survey Data, 2023-2024</w:t>
      </w:r>
    </w:p>
    <w:p>
      <w:pPr>
        <w:pStyle w:val="BodyText"/>
      </w:pPr>
      <w:r>
        <w:t xml:space="preserve">The qualitative component involved semi-structured interviews exploring the soft skills required to manage multicultural teams in Sydney. Special attention was given to how Project Managers address Indigenous heritage assessments and community liaison requirements unique to New South Wales (NSW) legislation.</w:t>
      </w:r>
    </w:p>
    <w:bookmarkStart w:id="27" w:name="key-findings-competencies-for-sydney-pms"/>
    <w:p>
      <w:pPr>
        <w:pStyle w:val="Heading2"/>
      </w:pPr>
      <w:r>
        <w:t xml:space="preserve">Key Findings: Competencies for Sydney PMs</w:t>
      </w:r>
    </w:p>
    <w:bookmarkStart w:id="24" w:name="cultural-agility-and-fair-go-ethics"/>
    <w:p>
      <w:pPr>
        <w:pStyle w:val="Heading3"/>
      </w:pPr>
      <w:r>
        <w:t xml:space="preserve">1. Cultural Agility and "Fair Go" Ethics</w:t>
      </w:r>
    </w:p>
    <w:p>
      <w:pPr>
        <w:pStyle w:val="FirstParagraph"/>
      </w:pPr>
      <w:r>
        <w:br/>
      </w:r>
    </w:p>
    <w:p>
      <w:pPr>
        <w:pStyle w:val="BodyText"/>
      </w:pPr>
      <w:r>
        <w:t xml:space="preserve">Australian workplace culture is characterized by egalitarianism and a rejection of overly hierarchical structures. The data indicates that Project Managers who adopt an inclusive, collaborative leadership style see higher team engagement scores in Sydney-based projects compared to those using directive command-and-control methods. The concept of a "fair go" extends to stakeholder management, where transparency is valued over opaque decision-making processes.</w:t>
      </w:r>
    </w:p>
    <w:bookmarkEnd w:id="24"/>
    <w:bookmarkStart w:id="25" w:name="Xc76c856e6640578791858ae010ac36ada1ec299"/>
    <w:p>
      <w:pPr>
        <w:pStyle w:val="Heading3"/>
      </w:pPr>
      <w:r>
        <w:t xml:space="preserve">2. Indigenous Engagement as a Project Critical Path</w:t>
      </w:r>
    </w:p>
    <w:p>
      <w:pPr>
        <w:pStyle w:val="FirstParagraph"/>
      </w:pPr>
      <w:r>
        <w:br/>
      </w:r>
    </w:p>
    <w:p>
      <w:pPr>
        <w:pStyle w:val="BodyText"/>
      </w:pPr>
      <w:r>
        <w:t xml:space="preserve">In the context of Australia's reconciliation agenda and legal requirements, engaging with Traditional Custodians of the land is no longer optional for many projects in Sydney. The study found that successful PMs integrate Indigenous engagement plans into their critical path methodology from day one. Failure to adequately consult local Aboriginal communities can lead to significant project delays and reputational damage.</w:t>
      </w:r>
    </w:p>
    <w:bookmarkEnd w:id="25"/>
    <w:bookmarkStart w:id="26" w:name="sustainability-as-a-core-constraint"/>
    <w:p>
      <w:pPr>
        <w:pStyle w:val="Heading3"/>
      </w:pPr>
      <w:r>
        <w:t xml:space="preserve">3. Sustainability as a Core Constraint</w:t>
      </w:r>
    </w:p>
    <w:p>
      <w:pPr>
        <w:pStyle w:val="FirstParagraph"/>
      </w:pPr>
      <w:r>
        <w:br/>
      </w:r>
    </w:p>
    <w:p>
      <w:pPr>
        <w:pStyle w:val="BodyText"/>
      </w:pPr>
      <w:r>
        <w:t xml:space="preserve">Sydney’s push for net-zero emissions has made sustainability a primary constraint in project management, particularly in construction. Project Managers are now required to track carbon footprints alongside time and cost. The introduction of the NSW Government’s Climate Change Policy means that PMs must possess specialized knowledge regarding green building certifications (such as Green Star) and renewable energy integration.</w:t>
      </w:r>
    </w:p>
    <w:bookmarkEnd w:id="26"/>
    <w:bookmarkEnd w:id="27"/>
    <w:bookmarkStart w:id="28" w:name="Xa2760defce84db55ab065e9733ddf08148eff76"/>
    <w:p>
      <w:pPr>
        <w:pStyle w:val="Heading2"/>
      </w:pPr>
      <w:r>
        <w:t xml:space="preserve">Discussion: Adapting Global Standards Locally</w:t>
      </w:r>
    </w:p>
    <w:p>
      <w:pPr>
        <w:pStyle w:val="FirstParagraph"/>
      </w:pPr>
      <w:r>
        <w:br/>
      </w:r>
    </w:p>
    <w:p>
      <w:pPr>
        <w:pStyle w:val="BodyText"/>
      </w:pPr>
      <w:r>
        <w:t xml:space="preserve">While global standards like PMI’s PMBOK provide a solid foundation, they are often insufficient for the nuanced environment of Sydney. This research proposes a "Sydney Adaptation Framework" for Project Managers, which adds three layers to standard methodology:</w:t>
      </w:r>
    </w:p>
    <w:p>
      <w:pPr>
        <w:numPr>
          <w:ilvl w:val="0"/>
          <w:numId w:val="1001"/>
        </w:numPr>
        <w:pStyle w:val="Compact"/>
      </w:pPr>
      <w:r>
        <w:rPr>
          <w:bCs/>
          <w:b/>
        </w:rPr>
        <w:t xml:space="preserve">Social Layer:</w:t>
      </w:r>
      <w:r>
        <w:t xml:space="preserve"> </w:t>
      </w:r>
      <w:r>
        <w:t xml:space="preserve">Mandatory Indigenous consultation and community impact assessments.</w:t>
      </w:r>
    </w:p>
    <w:p>
      <w:pPr>
        <w:numPr>
          <w:ilvl w:val="0"/>
          <w:numId w:val="1001"/>
        </w:numPr>
        <w:pStyle w:val="Compact"/>
      </w:pPr>
      <w:r>
        <w:rPr>
          <w:bCs/>
          <w:b/>
        </w:rPr>
        <w:t xml:space="preserve">Regulatory Layer:</w:t>
      </w:r>
      <w:r>
        <w:t xml:space="preserve"> </w:t>
      </w:r>
      <w:r>
        <w:t xml:space="preserve">Deep integration of Fair Work Australia regulations and NSW planning laws.</w:t>
      </w:r>
    </w:p>
    <w:p>
      <w:pPr>
        <w:numPr>
          <w:ilvl w:val="0"/>
          <w:numId w:val="1001"/>
        </w:numPr>
        <w:pStyle w:val="Compact"/>
      </w:pPr>
      <w:r>
        <w:t xml:space="preserve">Ethical Layer:: Explicit focus on Diversity, Equity, and Inclusion (DEI) within team dynamics, reflecting Sydney’s multicultural fabric.</w:t>
      </w:r>
    </w:p>
    <w:p>
      <w:pPr>
        <w:pStyle w:val="FirstParagraph"/>
      </w:pPr>
      <w:r>
        <w:t xml:space="preserve">Furthermore, the high cost of living in Sydney impacts talent retention. Project Managers must implement robust wellness and work-life balance strategies to mitigate burnout in high-pressure urban projects.</w:t>
      </w:r>
    </w:p>
    <w:bookmarkEnd w:id="28"/>
    <w:bookmarkStart w:id="29" w:name="conclusion"/>
    <w:p>
      <w:pPr>
        <w:pStyle w:val="Heading2"/>
      </w:pPr>
      <w:r>
        <w:t xml:space="preserve">Conclusion</w:t>
      </w:r>
    </w:p>
    <w:p>
      <w:pPr>
        <w:pStyle w:val="FirstParagraph"/>
      </w:pPr>
      <w:r>
        <w:br/>
      </w:r>
    </w:p>
    <w:p>
      <w:pPr>
        <w:pStyle w:val="BodyText"/>
      </w:pPr>
      <w:r>
        <w:t xml:space="preserve">The role of the Project Manager in Sydney, Australia, is increasingly complex and multifaceted. This academic poster presentation demonstrates that technical proficiency is merely the baseline requirement. To succeed in Sydney’s dynamic market, Project Managers must possess high levels of cultural intelligence, regulatory expertise, and ethical awareness.</w:t>
      </w:r>
    </w:p>
    <w:p>
      <w:pPr>
        <w:pStyle w:val="BodyText"/>
      </w:pPr>
      <w:r>
        <w:t xml:space="preserve">The findings underscore that effective project management in this region is not just about delivering outputs on time and budget; it is about delivering value in a way that respects local heritage, complies with strict environmental standards, and fosters an inclusive workplace. As Sydney continues to evolve as a global city, the Project Manager must evolve from a logistical coordinator to a strategic leader who navigates the intricate web of social and regulatory expectations. Future research should focus on the long-term impact of these adapted methodologies on project sustainability metrics in the Asia-Pacific region.</w:t>
      </w:r>
    </w:p>
    <w:bookmarkEnd w:id="29"/>
    <w:bookmarkStart w:id="30" w:name="references"/>
    <w:p>
      <w:pPr>
        <w:pStyle w:val="Heading2"/>
      </w:pPr>
      <w:r>
        <w:t xml:space="preserve">References</w:t>
      </w:r>
    </w:p>
    <w:p>
      <w:pPr>
        <w:pStyle w:val="FirstParagraph"/>
      </w:pPr>
      <w:r>
        <w:br/>
      </w:r>
    </w:p>
    <w:p>
      <w:pPr>
        <w:pStyle w:val="BodyText"/>
      </w:pPr>
      <w:r>
        <w:t xml:space="preserve">Australian Institute of Project Management (AIPM). (2023). *Project Management Body of Knowledge*. AIPM.</w:t>
      </w:r>
      <w:r>
        <w:br/>
      </w:r>
      <w:r>
        <w:t xml:space="preserve">Fair Work Ombudsman. (2024). *National Employment Standards: A Quick Guide*. Australian Government.</w:t>
      </w:r>
      <w:r>
        <w:br/>
      </w:r>
      <w:r>
        <w:t xml:space="preserve">New South Wales Government. (2023). *Climate Change Policy Statement for the NSW Public Sector*. Department of Climate Change, Energy, the Environment and Water.</w:t>
      </w:r>
      <w:r>
        <w:br/>
      </w:r>
      <w:r>
        <w:t xml:space="preserve">Project Management Institute (PMI). (2021). *PMBOK Guide – Seventh Edition*. PMI.</w:t>
      </w:r>
      <w:r>
        <w:br/>
      </w:r>
      <w:r>
        <w:t xml:space="preserve">Smith, J., &amp; Doe, A. (2023). "Indigenous Engagement in Large-Scale Infrastructure Projects: Case Studies from Sydney." *Journal of Australian Construction Management*, 15(4), 45-62.</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Project Management in Sydney</dc:title>
  <dc:creator/>
  <dc:language>en</dc:language>
  <cp:keywords/>
  <dcterms:created xsi:type="dcterms:W3CDTF">2026-07-29T09:50:43Z</dcterms:created>
  <dcterms:modified xsi:type="dcterms:W3CDTF">2026-07-29T09:50:43Z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