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Robotics</w:t>
      </w:r>
      <w:r>
        <w:t xml:space="preserve"> </w:t>
      </w:r>
      <w:r>
        <w:t xml:space="preserve">Engineer</w:t>
      </w:r>
      <w:r>
        <w:t xml:space="preserve"> </w:t>
      </w:r>
      <w:r>
        <w:t xml:space="preserve">Poster</w:t>
      </w:r>
      <w:r>
        <w:t xml:space="preserve"> </w:t>
      </w:r>
      <w:r>
        <w:t xml:space="preserve">Presentation:</w:t>
      </w:r>
      <w:r>
        <w:t xml:space="preserve"> </w:t>
      </w:r>
      <w:r>
        <w:t xml:space="preserve">Melbourne</w:t>
      </w:r>
      <w:r>
        <w:t xml:space="preserve"> </w:t>
      </w:r>
      <w:r>
        <w:t xml:space="preserve">Context</w:t>
      </w:r>
    </w:p>
    <w:bookmarkStart w:id="21" w:name="X17c6eddb219e2cf5df84c4661035a340fb65919"/>
    <w:p>
      <w:pPr>
        <w:pStyle w:val="Heading1"/>
      </w:pPr>
      <w:r>
        <w:t xml:space="preserve">Advancing Industrial Automation and Care Robotics in the Southern Hemisphere</w:t>
      </w:r>
    </w:p>
    <w:bookmarkStart w:id="20" w:name="X48fda5df1b72105aec52b2c0619777cc9ecfcc8"/>
    <w:p>
      <w:pPr>
        <w:pStyle w:val="Heading2"/>
      </w:pPr>
      <w:r>
        <w:t xml:space="preserve">A Strategic Overview for Robotics Engineers in Australia Melbourne</w:t>
      </w:r>
    </w:p>
    <w:p>
      <w:pPr>
        <w:pStyle w:val="FirstParagraph"/>
      </w:pPr>
      <w:r>
        <w:rPr>
          <w:bCs/>
          <w:b/>
        </w:rPr>
        <w:t xml:space="preserve">Date:</w:t>
      </w:r>
      <w:r>
        <w:t xml:space="preserve"> </w:t>
      </w:r>
      <w:r>
        <w:t xml:space="preserve">October 24, 2023  | </w:t>
      </w:r>
      <w:r>
        <w:t xml:space="preserve"> </w:t>
      </w:r>
      <w:r>
        <w:rPr>
          <w:bCs/>
          <w:b/>
        </w:rPr>
        <w:t xml:space="preserve">Location:</w:t>
      </w:r>
      <w:r>
        <w:t xml:space="preserve"> </w:t>
      </w:r>
      <w:r>
        <w:t xml:space="preserve">Melbourne Convention and Exhibition Centre</w:t>
      </w:r>
    </w:p>
    <w:bookmarkEnd w:id="20"/>
    <w:bookmarkEnd w:id="21"/>
    <w:bookmarkStart w:id="22" w:name="abstract"/>
    <w:p>
      <w:pPr>
        <w:pStyle w:val="Heading3"/>
      </w:pPr>
      <w:r>
        <w:t xml:space="preserve">Abstract</w:t>
      </w:r>
    </w:p>
    <w:p>
      <w:pPr>
        <w:pStyle w:val="FirstParagraph"/>
      </w:pPr>
      <w:r>
        <w:t xml:space="preserve">This academic poster presentation explores the evolving landscape of robotics engineering within the dynamic economic and technological ecosystem of Australia Melbourne. As a global hub for innovation, Melbourne has emerged as a critical node for advanced manufacturing, healthcare automation, and sustainable infrastructure development. This document outlines the specific competencies required by modern Robotics Engineers operating in this region, addressing local regulatory frameworks such as Safe Work Victoria standards and ASC robotic classification guidelines. Furthermore it examines how Melbourne's vibrant startup ecosystem interacts with established research institutions like RMIT University and Monash University to foster translational research from laboratory prototypes to industrial deployment.</w:t>
      </w:r>
    </w:p>
    <w:bookmarkEnd w:id="22"/>
    <w:bookmarkStart w:id="23" w:name="introduction-the-melbourne-context"/>
    <w:p>
      <w:pPr>
        <w:pStyle w:val="Heading3"/>
      </w:pPr>
      <w:r>
        <w:t xml:space="preserve">Introduction: The Melbourne Context</w:t>
      </w:r>
    </w:p>
    <w:p>
      <w:pPr>
        <w:pStyle w:val="FirstParagraph"/>
      </w:pPr>
      <w:r>
        <w:t xml:space="preserve">Melbourne is widely recognized as Australia's technology capital. For a Robotics Engineer, the city presents a unique convergence of heavy industry requirements and sophisticated service applications. Unlike other Australian cities with stronger mining focuses, Melbourne’s robotics sector is heavily skewed toward logistics automation due to its status as the primary distribution hub for Victoria and much of southeastern Australia.</w:t>
      </w:r>
    </w:p>
    <w:p>
      <w:pPr>
        <w:pStyle w:val="BodyText"/>
      </w:pPr>
      <w:r>
        <w:t xml:space="preserve">The role of the</w:t>
      </w:r>
      <w:r>
        <w:t xml:space="preserve"> </w:t>
      </w:r>
      <w:r>
        <w:rPr>
          <w:bCs/>
          <w:b/>
        </w:rPr>
        <w:t xml:space="preserve">Robotics Engineer</w:t>
      </w:r>
      <w:r>
        <w:t xml:space="preserve"> </w:t>
      </w:r>
      <w:r>
        <w:t xml:space="preserve">in this context extends beyond mechanical design. It requires a multidisciplinary approach integrating computer vision, artificial intelligence, and mechanical engineering to solve local challenges such as labor shortages in the agricultural sector (particularly in the nearby Yarra Valley) and an aging population requiring assisted living technologies.</w:t>
      </w:r>
    </w:p>
    <w:bookmarkEnd w:id="23"/>
    <w:bookmarkStart w:id="24" w:name="Xed711f8c7f6b74945d0c080ec2b503bf543b26c"/>
    <w:p>
      <w:pPr>
        <w:pStyle w:val="Heading3"/>
      </w:pPr>
      <w:r>
        <w:t xml:space="preserve">Core Competencies for Melbourne-Based Engineers</w:t>
      </w:r>
    </w:p>
    <w:p>
      <w:pPr>
        <w:pStyle w:val="FirstParagraph"/>
      </w:pPr>
      <w:r>
        <w:t xml:space="preserve">To succeed in the Australian market, a Robotics Engineer must demonstrate proficiency in several key areas tailored to local industry needs:</w:t>
      </w:r>
    </w:p>
    <w:p>
      <w:pPr>
        <w:numPr>
          <w:ilvl w:val="0"/>
          <w:numId w:val="1001"/>
        </w:numPr>
        <w:pStyle w:val="Compact"/>
      </w:pPr>
      <w:r>
        <w:rPr>
          <w:bCs/>
          <w:b/>
        </w:rPr>
        <w:t xml:space="preserve">Safety Compliance (AS/NZS Standards):</w:t>
      </w:r>
      <w:r>
        <w:t xml:space="preserve"> </w:t>
      </w:r>
      <w:r>
        <w:t xml:space="preserve">A deep understanding of Australian and New Zealand Standard for Industrial Robots is non-negotiable. Engineers must design systems that comply with strict workplace health and safety regulations enforced by local bodies.</w:t>
      </w:r>
    </w:p>
    <w:p>
      <w:pPr>
        <w:numPr>
          <w:ilvl w:val="0"/>
          <w:numId w:val="1001"/>
        </w:numPr>
        <w:pStyle w:val="Compact"/>
      </w:pPr>
      <w:r>
        <w:rPr>
          <w:bCs/>
          <w:b/>
        </w:rPr>
        <w:t xml:space="preserve">AUTONOMOUS NAVIGATION IN DYNAMIC ENVIRONMENTS:</w:t>
      </w:r>
      <w:r>
        <w:t xml:space="preserve"> </w:t>
      </w:r>
      <w:r>
        <w:t xml:space="preserve">Melbourne's urban density requires mobile robots to navigate complex, unstructured environments. Skills in SLAM (Simultaneous Localization and Mapping) are crucial for warehouse automation firms located in the western growth corridors of the city.</w:t>
      </w:r>
    </w:p>
    <w:p>
      <w:pPr>
        <w:numPr>
          <w:ilvl w:val="0"/>
          <w:numId w:val="1001"/>
        </w:numPr>
        <w:pStyle w:val="Compact"/>
      </w:pPr>
      <w:r>
        <w:rPr>
          <w:bCs/>
          <w:b/>
        </w:rPr>
        <w:t xml:space="preserve">Digital Twin Technology:</w:t>
      </w:r>
      <w:r>
        <w:t xml:space="preserve"> </w:t>
      </w:r>
      <w:r>
        <w:t xml:space="preserve">Leading Victorian engineering firms are increasingly adopting digital twin methodologies. Engineers must be adept at simulating robotic behaviors before physical deployment to minimize downtime and risk.</w:t>
      </w:r>
    </w:p>
    <w:p>
      <w:pPr>
        <w:numPr>
          <w:ilvl w:val="0"/>
          <w:numId w:val="1001"/>
        </w:numPr>
        <w:pStyle w:val="Compact"/>
      </w:pPr>
      <w:r>
        <w:rPr>
          <w:bCs/>
          <w:b/>
        </w:rPr>
        <w:t xml:space="preserve">Sustainable Robotics:</w:t>
      </w:r>
      <w:r>
        <w:t xml:space="preserve"> </w:t>
      </w:r>
      <w:r>
        <w:t xml:space="preserve">With Victoria’s commitment to net-zero emissions, there is a growing demand for energy-efficient robotic systems. Engineers are expected to optimize battery life and power consumption in autonomous mobile robots (AMRs).</w:t>
      </w:r>
    </w:p>
    <w:bookmarkEnd w:id="24"/>
    <w:bookmarkStart w:id="25" w:name="X560df84c2ab210fdb9649c80b72430ae7325457"/>
    <w:p>
      <w:pPr>
        <w:pStyle w:val="Heading3"/>
      </w:pPr>
      <w:r>
        <w:t xml:space="preserve">Case Study: Logistics Automation in the Docklands</w:t>
      </w:r>
    </w:p>
    <w:p>
      <w:pPr>
        <w:pStyle w:val="FirstParagraph"/>
      </w:pPr>
      <w:r>
        <w:t xml:space="preserve">A prominent example of robotics engineering impact is found in the logistics sector along Melbourne’s Port of Melbourne. This poster highlights a recent deployment of collaborative robots (cobots) working alongside human operators in parcel sorting facilities.</w:t>
      </w:r>
    </w:p>
    <w:p>
      <w:pPr>
        <w:pStyle w:val="BlockText"/>
      </w:pPr>
      <w:r>
        <w:t xml:space="preserve">"The integration required not only robust mechanical design but also sophisticated sensor fusion to ensure human-robot interaction safety. The solution reduced processing time by 40% while maintaining zero accidents over six months of operation."</w:t>
      </w:r>
    </w:p>
    <w:p>
      <w:pPr>
        <w:pStyle w:val="FirstParagraph"/>
      </w:pPr>
      <w:r>
        <w:t xml:space="preserve">This case illustrates the practical application of robotics engineering skills, emphasizing the importance of human-centric design principles which are highly valued in Australian corporate culture.</w:t>
      </w:r>
    </w:p>
    <w:bookmarkEnd w:id="25"/>
    <w:bookmarkStart w:id="26" w:name="research-development-ecosystem"/>
    <w:p>
      <w:pPr>
        <w:pStyle w:val="Heading3"/>
      </w:pPr>
      <w:r>
        <w:t xml:space="preserve">Research &amp; Development Ecosystem</w:t>
      </w:r>
    </w:p>
    <w:p>
      <w:pPr>
        <w:pStyle w:val="FirstParagraph"/>
      </w:pPr>
      <w:r>
        <w:t xml:space="preserve">Melbourne boasts a robust R&amp;D ecosystem. Key collaborators include:</w:t>
      </w:r>
    </w:p>
    <w:p>
      <w:pPr>
        <w:numPr>
          <w:ilvl w:val="0"/>
          <w:numId w:val="1002"/>
        </w:numPr>
        <w:pStyle w:val="Compact"/>
      </w:pPr>
      <w:r>
        <w:rPr>
          <w:bCs/>
          <w:b/>
        </w:rPr>
        <w:t xml:space="preserve">RMIT University:</w:t>
      </w:r>
      <w:r>
        <w:t xml:space="preserve"> </w:t>
      </w:r>
      <w:r>
        <w:t xml:space="preserve">Leading research in AI-driven robotics and autonomous vehicles.</w:t>
      </w:r>
    </w:p>
    <w:p>
      <w:pPr>
        <w:numPr>
          <w:ilvl w:val="0"/>
          <w:numId w:val="1002"/>
        </w:numPr>
        <w:pStyle w:val="Compact"/>
      </w:pPr>
      <w:r>
        <w:rPr>
          <w:bCs/>
          <w:b/>
        </w:rPr>
        <w:t xml:space="preserve">The Victorian College of the Arts (VCA):</w:t>
      </w:r>
      <w:r>
        <w:t xml:space="preserve"> </w:t>
      </w:r>
      <w:r>
        <w:t xml:space="preserve">Collaborating on human-robot interaction aesthetics and usability.</w:t>
      </w:r>
    </w:p>
    <w:p>
      <w:pPr>
        <w:numPr>
          <w:ilvl w:val="0"/>
          <w:numId w:val="1002"/>
        </w:numPr>
        <w:pStyle w:val="Compact"/>
      </w:pPr>
      <w:r>
        <w:rPr>
          <w:bCs/>
          <w:b/>
        </w:rPr>
        <w:t xml:space="preserve">Murdoch Children's Research Institute:</w:t>
      </w:r>
      <w:r>
        <w:t xml:space="preserve"> </w:t>
      </w:r>
      <w:r>
        <w:t xml:space="preserve">Developing pediatric rehabilitation robots for children with cerebral palsy, showcasing the medical application potential.</w:t>
      </w:r>
    </w:p>
    <w:p>
      <w:pPr>
        <w:pStyle w:val="FirstParagraph"/>
      </w:pPr>
      <w:r>
        <w:t xml:space="preserve">The synergy between these academic institutions and private sector startups in Melbourne’s innovation precincts, such as Southbank and Parkville, creates a fertile ground for engineering graduates. Funding initiatives from the Victorian State Government further support translational research projects aimed at commercializing robotic prototypes.</w:t>
      </w:r>
    </w:p>
    <w:bookmarkEnd w:id="26"/>
    <w:bookmarkStart w:id="27" w:name="current-challenges-and-future-outlook"/>
    <w:p>
      <w:pPr>
        <w:pStyle w:val="Heading3"/>
      </w:pPr>
      <w:r>
        <w:t xml:space="preserve">Current Challenges and Future Outlook</w:t>
      </w:r>
    </w:p>
    <w:p>
      <w:pPr>
        <w:pStyle w:val="FirstParagraph"/>
      </w:pPr>
      <w:r>
        <w:t xml:space="preserve">Despite the progress, Robotics Engineers in Australia Melbourne face significant hurdles. The primary challenge is the "skills gap," where academic outputs do not always match industry-specific needs regarding proprietary software stacks and legacy system integration.</w:t>
      </w:r>
    </w:p>
    <w:p>
      <w:pPr>
        <w:pStyle w:val="BodyText"/>
      </w:pPr>
      <w:r>
        <w:t xml:space="preserve">Additionally, supply chain disruptions globally have affected component availability for local robotics firms. Engineers must therefore adopt modular design strategies that allow for flexibility in hardware sourcing.</w:t>
      </w:r>
    </w:p>
    <w:p>
      <w:pPr>
        <w:pStyle w:val="BodyText"/>
      </w:pPr>
      <w:r>
        <w:rPr>
          <w:bCs/>
          <w:b/>
        </w:rPr>
        <w:t xml:space="preserve">Future Outlook:</w:t>
      </w:r>
    </w:p>
    <w:p>
      <w:pPr>
        <w:numPr>
          <w:ilvl w:val="0"/>
          <w:numId w:val="1003"/>
        </w:numPr>
        <w:pStyle w:val="Compact"/>
      </w:pPr>
      <w:r>
        <w:rPr>
          <w:bCs/>
          <w:b/>
        </w:rPr>
        <w:t xml:space="preserve">Agricultural Robotics:</w:t>
      </w:r>
      <w:r>
        <w:t xml:space="preserve"> </w:t>
      </w:r>
      <w:r>
        <w:t xml:space="preserve">Expansion of autonomous harvesting units in regional Victoria.</w:t>
      </w:r>
    </w:p>
    <w:p>
      <w:pPr>
        <w:numPr>
          <w:ilvl w:val="0"/>
          <w:numId w:val="1003"/>
        </w:numPr>
        <w:pStyle w:val="Compact"/>
      </w:pPr>
      <w:r>
        <w:rPr>
          <w:bCs/>
          <w:b/>
        </w:rPr>
        <w:t xml:space="preserve">Maintenance Robots:</w:t>
      </w:r>
      <w:r>
        <w:t xml:space="preserve"> </w:t>
      </w:r>
      <w:r>
        <w:t xml:space="preserve">Deployment of inspection drones for offshore oil and gas infrastructure on the Bass Strait.</w:t>
      </w:r>
    </w:p>
    <w:p>
      <w:pPr>
        <w:numPr>
          <w:ilvl w:val="0"/>
          <w:numId w:val="1003"/>
        </w:numPr>
        <w:pStyle w:val="Compact"/>
      </w:pPr>
      <w:r>
        <w:rPr>
          <w:bCs/>
          <w:b/>
        </w:rPr>
        <w:t xml:space="preserve">Ethical AI:</w:t>
      </w:r>
      <w:r>
        <w:t xml:space="preserve"> </w:t>
      </w:r>
      <w:r>
        <w:t xml:space="preserve">Developing frameworks for ethical decision-making in autonomous systems, aligning with Australian government guidelines on responsible AI development.</w:t>
      </w:r>
    </w:p>
    <w:bookmarkEnd w:id="27"/>
    <w:bookmarkStart w:id="28" w:name="conclusion"/>
    <w:p>
      <w:pPr>
        <w:pStyle w:val="Heading3"/>
      </w:pPr>
      <w:r>
        <w:t xml:space="preserve">Conclusion</w:t>
      </w:r>
    </w:p>
    <w:p>
      <w:pPr>
        <w:pStyle w:val="FirstParagraph"/>
      </w:pPr>
      <w:r>
        <w:t xml:space="preserve">The role of the Robotics Engineer in Australia Melbourne is pivotal to the state’s economic resilience and technological sovereignty. By combining rigorous engineering standards with innovative application development, professionals in this field are shaping the future of work and care. Success requires not only technical prowess but also an understanding of local regulatory landscapes, cultural contexts, and collaborative networks.</w:t>
      </w:r>
    </w:p>
    <w:p>
      <w:pPr>
        <w:pStyle w:val="BodyText"/>
      </w:pPr>
      <w:r>
        <w:t xml:space="preserve">This poster presentation serves as a call to action for emerging engineers to engage with Melbourne’s tech community, pursue continuous professional development aligned with Australian standards, and contribute to the global leadership in robotics innovation that the region aspires to maintain.</w:t>
      </w:r>
    </w:p>
    <w:bookmarkEnd w:id="28"/>
    <w:p>
      <w:pPr>
        <w:pStyle w:val="BodyText"/>
      </w:pPr>
      <w:r>
        <w:rPr>
          <w:bCs/>
          <w:b/>
        </w:rPr>
        <w:t xml:space="preserve">Contact:</w:t>
      </w:r>
      <w:r>
        <w:t xml:space="preserve"> </w:t>
      </w:r>
      <w:r>
        <w:t xml:space="preserve">dr.smith@roboticsmelbourne.edu.au |</w:t>
      </w:r>
      <w:r>
        <w:t xml:space="preserve"> </w:t>
      </w:r>
      <w:r>
        <w:rPr>
          <w:bCs/>
          <w:b/>
        </w:rPr>
        <w:t xml:space="preserve">Affiliation:</w:t>
      </w:r>
      <w:r>
        <w:t xml:space="preserve"> </w:t>
      </w:r>
      <w:r>
        <w:t xml:space="preserve">Melbourne Institute of Advanced Robotics</w:t>
      </w:r>
    </w:p>
    <w:p>
      <w:pPr>
        <w:pStyle w:val="BodyText"/>
      </w:pPr>
      <w:r>
        <w:t xml:space="preserve">© 2023 Academic Poster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Robotics Engineer Poster Presentation: Melbourne Context</dc:title>
  <dc:creator/>
  <dc:language>en</dc:language>
  <cp:keywords/>
  <dcterms:created xsi:type="dcterms:W3CDTF">2026-07-29T05:30:28Z</dcterms:created>
  <dcterms:modified xsi:type="dcterms:W3CDTF">2026-07-29T05:30:28Z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