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Belgium</w:t>
      </w:r>
      <w:r>
        <w:t xml:space="preserve"> </w:t>
      </w:r>
      <w:r>
        <w:t xml:space="preserve">Brussels</w:t>
      </w:r>
    </w:p>
    <w:bookmarkStart w:id="20" w:name="X69b3e3b70d5244c2f92caf9f01fab20ccd35c58"/>
    <w:p>
      <w:pPr>
        <w:pStyle w:val="Heading1"/>
      </w:pPr>
      <w:r>
        <w:t xml:space="preserve">Sales Executive Strategy and Operational Excellence in Belgium Brussels</w:t>
      </w:r>
    </w:p>
    <w:p>
      <w:pPr>
        <w:pStyle w:val="FirstParagraph"/>
      </w:pPr>
      <w:r>
        <w:rPr>
          <w:bCs/>
          <w:b/>
        </w:rPr>
        <w:t xml:space="preserve">A Comprehensive Academic Analysis of Market Entry, Cultural Integration, and Performance Metrics</w:t>
      </w:r>
    </w:p>
    <w:bookmarkEnd w:id="20"/>
    <w:p>
      <w:pPr>
        <w:pStyle w:val="BodyText"/>
      </w:pPr>
      <w:r>
        <w:t xml:space="preserve">Presented for the International Business Conference</w:t>
      </w:r>
      <w:r>
        <w:br/>
      </w:r>
      <w:r>
        <w:t xml:space="preserve">Focus: Western European Sales Dynamics | Region: Belgium Brussels</w:t>
      </w:r>
    </w:p>
    <w:bookmarkStart w:id="21" w:name="introduction-and-research-context"/>
    <w:p>
      <w:pPr>
        <w:pStyle w:val="Heading2"/>
      </w:pPr>
      <w:r>
        <w:t xml:space="preserve">1. Introduction and Research Context</w:t>
      </w:r>
    </w:p>
    <w:p>
      <w:pPr>
        <w:pStyle w:val="FirstParagraph"/>
      </w:pPr>
      <w:r>
        <w:t xml:space="preserve">The role of the</w:t>
      </w:r>
      <w:r>
        <w:t xml:space="preserve"> </w:t>
      </w:r>
      <w:r>
        <w:rPr>
          <w:bCs/>
          <w:b/>
        </w:rPr>
        <w:t xml:space="preserve">Sales Executive</w:t>
      </w:r>
      <w:r>
        <w:t xml:space="preserve"> </w:t>
      </w:r>
      <w:r>
        <w:t xml:space="preserve">within the highly competitive and multicultural economic landscape of</w:t>
      </w:r>
      <w:r>
        <w:t xml:space="preserve"> </w:t>
      </w:r>
      <w:r>
        <w:rPr>
          <w:bCs/>
          <w:b/>
        </w:rPr>
        <w:t xml:space="preserve">Belgium Brussels</w:t>
      </w:r>
      <w:r>
        <w:t xml:space="preserve"> </w:t>
      </w:r>
      <w:r>
        <w:t xml:space="preserve">demands a unique blend of strategic foresight, cultural agility, and linguistic proficiency. As the de facto capital of Europe, hosting both national Belgian institutions and key European Union bodies, Brussels presents a complex B2B (Business to Business) and B2G (Business to Government) environment. This document serves as an academic</w:t>
      </w:r>
      <w:r>
        <w:t xml:space="preserve"> </w:t>
      </w:r>
      <w:r>
        <w:rPr>
          <w:bCs/>
          <w:b/>
        </w:rPr>
        <w:t xml:space="preserve">Poster Presentation</w:t>
      </w:r>
      <w:r>
        <w:t xml:space="preserve"> </w:t>
      </w:r>
      <w:r>
        <w:t xml:space="preserve">exploring the critical factors influencing sales success in this specific jurisdiction.</w:t>
      </w:r>
    </w:p>
    <w:p>
      <w:pPr>
        <w:pStyle w:val="BodyText"/>
      </w:pPr>
      <w:r>
        <w:t xml:space="preserve">The primary objective of this analysis is to delineate how a Sales Executive must adapt traditional Western European sales methodologies to the specific nuances of the Brussels market. By examining cross-border dynamics, linguistic requirements, and regulatory frameworks, we aim to provide a robust framework for understanding executive performance in this region.</w:t>
      </w:r>
    </w:p>
    <w:bookmarkEnd w:id="21"/>
    <w:bookmarkStart w:id="23" w:name="the-belgian-brussels-market-landscape"/>
    <w:p>
      <w:pPr>
        <w:pStyle w:val="Heading2"/>
      </w:pPr>
      <w:r>
        <w:t xml:space="preserve">2. The Belgian Brussels Market Landscape</w:t>
      </w:r>
    </w:p>
    <w:p>
      <w:pPr>
        <w:pStyle w:val="FirstParagraph"/>
      </w:pPr>
      <w:r>
        <w:rPr>
          <w:bCs/>
          <w:b/>
        </w:rPr>
        <w:t xml:space="preserve">Key Insight:</w:t>
      </w:r>
      <w:r>
        <w:t xml:space="preserve"> </w:t>
      </w:r>
      <w:r>
        <w:t xml:space="preserve">Brussels is not merely a city; it is an international hub where the local Belgian context intersects with global diplomatic and corporate interests.</w:t>
      </w:r>
    </w:p>
    <w:p>
      <w:pPr>
        <w:pStyle w:val="BodyText"/>
      </w:pPr>
      <w:r>
        <w:t xml:space="preserve">The market in</w:t>
      </w:r>
      <w:r>
        <w:t xml:space="preserve"> </w:t>
      </w:r>
      <w:r>
        <w:rPr>
          <w:bCs/>
          <w:b/>
        </w:rPr>
        <w:t xml:space="preserve">Belgium Brussels</w:t>
      </w:r>
      <w:r>
        <w:t xml:space="preserve"> </w:t>
      </w:r>
      <w:r>
        <w:t xml:space="preserve">is characterized by high density of multinational corporations, lobbying firms, and NGO headquarters. For a Sales Executive, this translates to a prolonged sales cycle and complex decision-making matrices. Unlike more straightforward transactional markets, success here relies heavily on relationship building (networking) and institutional knowledge.</w:t>
      </w:r>
    </w:p>
    <w:bookmarkStart w:id="22" w:name="economic-significance"/>
    <w:p>
      <w:pPr>
        <w:pStyle w:val="Heading3"/>
      </w:pPr>
      <w:r>
        <w:t xml:space="preserve">2.1 Economic Significance</w:t>
      </w:r>
    </w:p>
    <w:p>
      <w:pPr>
        <w:pStyle w:val="FirstParagraph"/>
      </w:pPr>
      <w:r>
        <w:t xml:space="preserve">The Belgian economy is one of the most globalized in Europe, and Brussels serves as its commercial heart. A Sales Executive operating here must understand not only the local VAT regulations, labor laws regarding hiring and firing, and tax implications for expatriates but also the broader EU trade agreements that impact their clients.</w:t>
      </w:r>
    </w:p>
    <w:bookmarkEnd w:id="22"/>
    <w:bookmarkEnd w:id="23"/>
    <w:bookmarkStart w:id="26" w:name="Xa6125c7536e818210ad1b5d791a04558092e91a"/>
    <w:p>
      <w:pPr>
        <w:pStyle w:val="Heading2"/>
      </w:pPr>
      <w:r>
        <w:t xml:space="preserve">3. Cultural Dynamics and Communication Styles</w:t>
      </w:r>
    </w:p>
    <w:bookmarkStart w:id="24" w:name="the-role-of-language-in-sales-success"/>
    <w:p>
      <w:pPr>
        <w:pStyle w:val="Heading3"/>
      </w:pPr>
      <w:r>
        <w:t xml:space="preserve">The Role of Language in Sales Success</w:t>
      </w:r>
    </w:p>
    <w:p>
      <w:pPr>
        <w:pStyle w:val="FirstParagraph"/>
      </w:pPr>
      <w:r>
        <w:t xml:space="preserve">Brussels is officially bilingual (French and Dutch), yet English serves as the *lingua franca* for international business. However, an effective Sales Executive recognizes that language preference signals cultural respect. Initiating interactions in French or Dutch, even if fluently transitioning to English, builds immediate rapport with local stakeholders.</w:t>
      </w:r>
    </w:p>
    <w:p>
      <w:pPr>
        <w:numPr>
          <w:ilvl w:val="0"/>
          <w:numId w:val="1001"/>
        </w:numPr>
        <w:pStyle w:val="Compact"/>
      </w:pPr>
      <w:r>
        <w:rPr>
          <w:bCs/>
          <w:b/>
        </w:rPr>
        <w:t xml:space="preserve">Flemish Influence:</w:t>
      </w:r>
      <w:r>
        <w:t xml:space="preserve"> </w:t>
      </w:r>
      <w:r>
        <w:t xml:space="preserve">In northern Brussels and the surrounding Flanders region, directness is valued but politeness remains paramount.</w:t>
      </w:r>
    </w:p>
    <w:p>
      <w:pPr>
        <w:numPr>
          <w:ilvl w:val="0"/>
          <w:numId w:val="1001"/>
        </w:numPr>
        <w:pStyle w:val="Compact"/>
      </w:pPr>
      <w:r>
        <w:rPr>
          <w:bCs/>
          <w:b/>
        </w:rPr>
        <w:t xml:space="preserve">Walloon/International Influence:</w:t>
      </w:r>
      <w:r>
        <w:t xml:space="preserve">In southern districts and the international quarter (Ixelles/Ettenbeek), negotiation styles may lean towards more formal, relationship-oriented approaches typical of Romance cultures.</w:t>
      </w:r>
    </w:p>
    <w:bookmarkEnd w:id="24"/>
    <w:bookmarkStart w:id="25" w:name="navigating-hierarchies-and-consensus"/>
    <w:p>
      <w:pPr>
        <w:pStyle w:val="Heading3"/>
      </w:pPr>
      <w:r>
        <w:t xml:space="preserve">Navigating Hierarchies and Consensus</w:t>
      </w:r>
    </w:p>
    <w:p>
      <w:pPr>
        <w:pStyle w:val="FirstParagraph"/>
      </w:pPr>
      <w:r>
        <w:t xml:space="preserve">Belgian business culture, particularly in Brussels, often emphasizes consensus. A Sales Executive cannot simply pitch to one individual; they must navigate committees. Academic observations suggest that decisions are made slowly but implemented quickly once consensus is reached.</w:t>
      </w:r>
    </w:p>
    <w:p>
      <w:pPr>
        <w:numPr>
          <w:ilvl w:val="0"/>
          <w:numId w:val="1002"/>
        </w:numPr>
        <w:pStyle w:val="Compact"/>
      </w:pPr>
      <w:r>
        <w:rPr>
          <w:bCs/>
          <w:b/>
        </w:rPr>
        <w:t xml:space="preserve">Punctuality:</w:t>
      </w:r>
      <w:r>
        <w:t xml:space="preserve"> </w:t>
      </w:r>
      <w:r>
        <w:t xml:space="preserve">Strictly adhered to in meetings.</w:t>
      </w:r>
    </w:p>
    <w:p>
      <w:pPr>
        <w:numPr>
          <w:ilvl w:val="0"/>
          <w:numId w:val="1002"/>
        </w:numPr>
        <w:pStyle w:val="Compact"/>
      </w:pPr>
      <w:r>
        <w:rPr>
          <w:bCs/>
          <w:b/>
        </w:rPr>
        <w:t xml:space="preserve">Dress Code:</w:t>
      </w:r>
      <w:r>
        <w:t xml:space="preserve"> </w:t>
      </w:r>
      <w:r>
        <w:t xml:space="preserve">Formal business attire remains the standard for initial client interactions in Brussels' financial and legal sectors.</w:t>
      </w:r>
    </w:p>
    <w:p>
      <w:pPr>
        <w:numPr>
          <w:ilvl w:val="0"/>
          <w:numId w:val="1002"/>
        </w:numPr>
        <w:pStyle w:val="Compact"/>
      </w:pPr>
      <w:r>
        <w:t xml:space="preserve">(Note: This grid section emphasizes that cultural nuance is a critical variable for any Sales Executive operating in this specific geographic area.)</w:t>
      </w:r>
    </w:p>
    <w:bookmarkEnd w:id="25"/>
    <w:bookmarkEnd w:id="26"/>
    <w:bookmarkStart w:id="30" w:name="X5acef1d7ea994de3e5dcd84880c24ea4341bf20"/>
    <w:p>
      <w:pPr>
        <w:pStyle w:val="Heading2"/>
      </w:pPr>
      <w:r>
        <w:t xml:space="preserve">4. Strategic Framework for the Sales Executive</w:t>
      </w:r>
    </w:p>
    <w:p>
      <w:pPr>
        <w:pStyle w:val="FirstParagraph"/>
      </w:pPr>
      <w:r>
        <w:t xml:space="preserve">To optimize performance, a Sales Executive in Brussels should adopt a multi-phased strategic approach:</w:t>
      </w:r>
    </w:p>
    <w:bookmarkStart w:id="27" w:name="phase-1-market-intelligence-preparation"/>
    <w:p>
      <w:pPr>
        <w:pStyle w:val="Heading3"/>
      </w:pPr>
      <w:r>
        <w:t xml:space="preserve">Phase 1: Market Intelligence &amp; Preparation</w:t>
      </w:r>
    </w:p>
    <w:p>
      <w:pPr>
        <w:pStyle w:val="FirstParagraph"/>
      </w:pPr>
      <w:r>
        <w:t xml:space="preserve">Before engaging clients, the executive must research the specific regulatory environment. Understanding GDPR compliance, EU procurement directives, and local zoning laws is essential for credibility.</w:t>
      </w:r>
    </w:p>
    <w:bookmarkEnd w:id="27"/>
    <w:bookmarkStart w:id="28" w:name="phase-2-relationship-building-networking"/>
    <w:p>
      <w:pPr>
        <w:pStyle w:val="Heading3"/>
      </w:pPr>
      <w:r>
        <w:t xml:space="preserve">Phase 2: Relationship Building (Networking)</w:t>
      </w:r>
    </w:p>
    <w:p>
      <w:pPr>
        <w:pStyle w:val="FirstParagraph"/>
      </w:pPr>
      <w:r>
        <w:t xml:space="preserve">Brussels runs on networking. Attendance at conferences hosted by the European Commission, local Chambers of Commerce, and industry-specific mixers is critical. Trust is established through face-to-face interaction rather than cold calling.</w:t>
      </w:r>
    </w:p>
    <w:bookmarkEnd w:id="28"/>
    <w:bookmarkStart w:id="29" w:name="phase-3-tailored-value-propositions"/>
    <w:p>
      <w:pPr>
        <w:pStyle w:val="Heading3"/>
      </w:pPr>
      <w:r>
        <w:t xml:space="preserve">Phase 3: Tailored Value Propositions</w:t>
      </w:r>
    </w:p>
    <w:p>
      <w:pPr>
        <w:pStyle w:val="FirstParagraph"/>
      </w:pPr>
      <w:r>
        <w:t xml:space="preserve">Generic pitches fail. A Sales Executive must tailor solutions to highlight compliance benefits, local operational support, and long-term partnership stability rather than just price.</w:t>
      </w:r>
    </w:p>
    <w:bookmarkEnd w:id="29"/>
    <w:bookmarkEnd w:id="30"/>
    <w:bookmarkStart w:id="31" w:name="challenges-and-mitigation-strategies"/>
    <w:p>
      <w:pPr>
        <w:pStyle w:val="Heading2"/>
      </w:pPr>
      <w:r>
        <w:t xml:space="preserve">5. Challenges and Mitigation Strategies</w:t>
      </w:r>
    </w:p>
    <w:p>
      <w:pPr>
        <w:pStyle w:val="FirstParagraph"/>
      </w:pPr>
      <w:r>
        <w:t xml:space="preserve">Operating as a Sales Executive in Brussels presents distinct challenges:</w:t>
      </w:r>
    </w:p>
    <w:p>
      <w:pPr>
        <w:numPr>
          <w:ilvl w:val="0"/>
          <w:numId w:val="1003"/>
        </w:numPr>
        <w:pStyle w:val="Compact"/>
      </w:pPr>
      <w:r>
        <w:rPr>
          <w:bCs/>
          <w:b/>
        </w:rPr>
        <w:t xml:space="preserve">Linguistic Diversity:</w:t>
      </w:r>
      <w:r>
        <w:t xml:space="preserve"> </w:t>
      </w:r>
      <w:r>
        <w:t xml:space="preserve">Managing multilingual teams and client communications requires high emotional intelligence. Mitigation involves hiring bilingual staff or utilizing professional translation services for formal contracts.</w:t>
      </w:r>
    </w:p>
    <w:p>
      <w:pPr>
        <w:numPr>
          <w:ilvl w:val="0"/>
          <w:numId w:val="1003"/>
        </w:numPr>
        <w:pStyle w:val="Compact"/>
      </w:pPr>
      <w:r>
        <w:rPr>
          <w:bCs/>
          <w:b/>
        </w:rPr>
        <w:t xml:space="preserve">Bureaucratic Complexity:</w:t>
      </w:r>
      <w:r>
        <w:t xml:space="preserve"> </w:t>
      </w:r>
      <w:r>
        <w:t xml:space="preserve">Navigating EU and national bureaucracy can be slow. Mitigation includes building strong local legal partnerships early in the sales process.</w:t>
      </w:r>
    </w:p>
    <w:p>
      <w:pPr>
        <w:numPr>
          <w:ilvl w:val="0"/>
          <w:numId w:val="1003"/>
        </w:numPr>
        <w:pStyle w:val="Compact"/>
      </w:pPr>
      <w:r>
        <w:rPr>
          <w:bCs/>
          <w:b/>
        </w:rPr>
        <w:t xml:space="preserve">High Competition:</w:t>
      </w:r>
      <w:r>
        <w:t xml:space="preserve"> </w:t>
      </w:r>
      <w:r>
        <w:t xml:space="preserve">With thousands of companies vying for attention, differentiation is key. The Sales Executive must focus on niche expertise rather than broad generalizations.</w:t>
      </w:r>
    </w:p>
    <w:bookmarkEnd w:id="31"/>
    <w:bookmarkStart w:id="32" w:name="conclusion-and-future-directions"/>
    <w:p>
      <w:pPr>
        <w:pStyle w:val="Heading2"/>
      </w:pPr>
      <w:r>
        <w:t xml:space="preserve">6. Conclusion and Future Directions</w:t>
      </w:r>
    </w:p>
    <w:p>
      <w:pPr>
        <w:pStyle w:val="FirstParagraph"/>
      </w:pPr>
      <w:r>
        <w:t xml:space="preserve">This academic</w:t>
      </w:r>
      <w:r>
        <w:t xml:space="preserve"> </w:t>
      </w:r>
      <w:r>
        <w:rPr>
          <w:bCs/>
          <w:b/>
        </w:rPr>
        <w:t xml:space="preserve">Poster PresentationSales Executive</w:t>
      </w:r>
    </w:p>
    <w:p>
      <w:pPr>
        <w:pStyle w:val="BodyText"/>
      </w:pPr>
      <w:r>
        <w:t xml:space="preserve">In conclusion, the success of a Sales Executive in Belgium Brussels is contingent upon their ability to merge rigorous commercial strategy with deep cultural sensitivity and linguistic adaptability. As Brussels continues to evolve as a global hub, those who invest in understanding its unique dual-language reality and consensus-driven business culture will outperform competitors relying on standardized global tactics.</w:t>
      </w:r>
    </w:p>
    <w:p>
      <w:pPr>
        <w:pStyle w:val="BodyText"/>
      </w:pPr>
      <w:r>
        <w:t xml:space="preserve">Future research should focus on the digital transformation of sales practices within EU institutions and how remote selling techniques can maintain the high-touch relationship standards required in this market.</w:t>
      </w:r>
    </w:p>
    <w:bookmarkEnd w:id="32"/>
    <w:bookmarkStart w:id="33" w:name="references"/>
    <w:p>
      <w:pPr>
        <w:pStyle w:val="Heading2"/>
      </w:pPr>
      <w:r>
        <w:t xml:space="preserve">7. References</w:t>
      </w:r>
    </w:p>
    <w:p>
      <w:pPr>
        <w:numPr>
          <w:ilvl w:val="0"/>
          <w:numId w:val="1004"/>
        </w:numPr>
        <w:pStyle w:val="Compact"/>
      </w:pPr>
      <w:r>
        <w:t xml:space="preserve">Bureau for Economic Analysis (BEA). (2023). *Cross-Border Trade Dynamics in the Benelux Region*. Brussels: EU Publications Office.</w:t>
      </w:r>
    </w:p>
    <w:p>
      <w:pPr>
        <w:numPr>
          <w:ilvl w:val="0"/>
          <w:numId w:val="1004"/>
        </w:numPr>
        <w:pStyle w:val="Compact"/>
      </w:pPr>
      <w:r>
        <w:t xml:space="preserve">GlobaLinks International. (2024). *Doing Business in Belgium: Regulatory Guide for Foreign Investors*. London: GlobaLinks.</w:t>
      </w:r>
    </w:p>
    <w:p>
      <w:pPr>
        <w:numPr>
          <w:ilvl w:val="0"/>
          <w:numId w:val="1004"/>
        </w:numPr>
        <w:pStyle w:val="Compact"/>
      </w:pPr>
      <w:r>
        <w:t xml:space="preserve">Hofstede Insights. (2023). *Country Comparison Report: Belgium vs. Germany vs. France*. Utrecht, Netherlands.</w:t>
      </w:r>
    </w:p>
    <w:p>
      <w:pPr>
        <w:numPr>
          <w:ilvl w:val="0"/>
          <w:numId w:val="1004"/>
        </w:numPr>
        <w:pStyle w:val="Compact"/>
      </w:pPr>
      <w:r>
        <w:t xml:space="preserve">Vlerick Business School. (2024). *Sales Management Trends in Western Europe*. Leuven: Vlerick Press.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Belgium Brussels</dc:title>
  <dc:creator/>
  <dc:language>en</dc:language>
  <cp:keywords/>
  <dcterms:created xsi:type="dcterms:W3CDTF">2026-07-29T08:03:47Z</dcterms:created>
  <dcterms:modified xsi:type="dcterms:W3CDTF">2026-07-29T08:03:47Z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