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Leadership</w:t>
      </w:r>
      <w:r>
        <w:t xml:space="preserve"> </w:t>
      </w:r>
      <w:r>
        <w:t xml:space="preserve">in</w:t>
      </w:r>
      <w:r>
        <w:t xml:space="preserve"> </w:t>
      </w:r>
      <w:r>
        <w:t xml:space="preserve">Alexandria:</w:t>
      </w:r>
      <w:r>
        <w:t xml:space="preserve"> </w:t>
      </w:r>
      <w:r>
        <w:t xml:space="preserve">A</w:t>
      </w:r>
      <w:r>
        <w:t xml:space="preserve"> </w:t>
      </w:r>
      <w:r>
        <w:t xml:space="preserve">Framework</w:t>
      </w:r>
      <w:r>
        <w:t xml:space="preserve"> </w:t>
      </w:r>
      <w:r>
        <w:t xml:space="preserve">for</w:t>
      </w:r>
      <w:r>
        <w:t xml:space="preserve"> </w:t>
      </w:r>
      <w:r>
        <w:t xml:space="preserve">Market</w:t>
      </w:r>
      <w:r>
        <w:t xml:space="preserve"> </w:t>
      </w:r>
      <w:r>
        <w:t xml:space="preserve">Penetration</w:t>
      </w:r>
      <w:r>
        <w:t xml:space="preserve"> </w:t>
      </w:r>
      <w:r>
        <w:t xml:space="preserve">and</w:t>
      </w:r>
      <w:r>
        <w:t xml:space="preserve"> </w:t>
      </w:r>
      <w:r>
        <w:t xml:space="preserve">Revenue</w:t>
      </w:r>
      <w:r>
        <w:t xml:space="preserve"> </w:t>
      </w:r>
      <w:r>
        <w:t xml:space="preserve">Growth</w:t>
      </w:r>
    </w:p>
    <w:bookmarkStart w:id="20" w:name="Xd36a75999914778dd920d6b5b6485c2f9b8d895"/>
    <w:p>
      <w:pPr>
        <w:pStyle w:val="Heading1"/>
      </w:pPr>
      <w:r>
        <w:t xml:space="preserve">Elevating Commercial Excellence in Alexandria: A Strategic Framework for Sales Executives</w:t>
      </w:r>
    </w:p>
    <w:p>
      <w:pPr>
        <w:pStyle w:val="FirstParagraph"/>
      </w:pPr>
      <w:r>
        <w:t xml:space="preserve">Navigating Local Nuances, Leveraging Economic Corridors, and Driving Sustainable Revenue Growth in Egypt’s Second Largest City</w:t>
      </w:r>
    </w:p>
    <w:bookmarkEnd w:id="20"/>
    <w:bookmarkStart w:id="22" w:name="X6b24f80a8b9c2f66e638a98f73a772edba93f91"/>
    <w:p>
      <w:pPr>
        <w:pStyle w:val="Heading2"/>
      </w:pPr>
      <w:r>
        <w:t xml:space="preserve">Academic Poster Presentation: Regional Sales Strategy &amp; Management</w:t>
      </w:r>
    </w:p>
    <w:bookmarkStart w:id="21" w:name="X612b749da5deb2b425fb47b7bb71f6929ba719a"/>
    <w:p>
      <w:pPr>
        <w:pStyle w:val="Heading3"/>
      </w:pPr>
      <w:r>
        <w:t xml:space="preserve">Prepared for the International Symposium on Emerging Markets in North Africa | Focus Region: Alexandria, Egypt</w:t>
      </w:r>
    </w:p>
    <w:bookmarkEnd w:id="21"/>
    <w:bookmarkEnd w:id="22"/>
    <w:bookmarkStart w:id="23" w:name="introduction-the-alexandria-imperative"/>
    <w:p>
      <w:pPr>
        <w:pStyle w:val="Heading3"/>
      </w:pPr>
      <w:r>
        <w:t xml:space="preserve">1. Introduction: The Alexandria Imperative</w:t>
      </w:r>
    </w:p>
    <w:p>
      <w:pPr>
        <w:pStyle w:val="FirstParagraph"/>
      </w:pPr>
      <w:r>
        <w:t xml:space="preserve">Alexandria stands as the commercial heart of Egypt outside of Cairo, serving as the nation’s primary gateway for international trade through its dual ports. For any organization aiming to expand its footprint in the Mediterranean corridor, understanding the local sales landscape is not merely an operational task but a strategic imperative. This poster presents a comprehensive academic analysis of the role and responsibilities of a</w:t>
      </w:r>
      <w:r>
        <w:t xml:space="preserve"> </w:t>
      </w:r>
      <w:r>
        <w:rPr>
          <w:bCs/>
          <w:b/>
        </w:rPr>
        <w:t xml:space="preserve">Sales Executive</w:t>
      </w:r>
      <w:r>
        <w:t xml:space="preserve"> </w:t>
      </w:r>
      <w:r>
        <w:t xml:space="preserve">operating within this unique socio-economic environment.</w:t>
      </w:r>
    </w:p>
    <w:p>
      <w:pPr>
        <w:pStyle w:val="BodyText"/>
      </w:pPr>
      <w:r>
        <w:t xml:space="preserve">The city’s distinct cultural heritage, combined with its rapidly evolving industrial zones (such as Alexandria Science Park and Borg El Arab), creates a complex marketplace. This study argues that effective sales leadership in Alexandria requires a hybrid approach: blending modern digital sales methodologies with the traditional, relationship-based commerce style deeply embedded in Egyptian business culture.</w:t>
      </w:r>
    </w:p>
    <w:bookmarkEnd w:id="23"/>
    <w:bookmarkStart w:id="24" w:name="market-context-dynamics-of-alexandria"/>
    <w:p>
      <w:pPr>
        <w:pStyle w:val="Heading3"/>
      </w:pPr>
      <w:r>
        <w:t xml:space="preserve">2. Market Context: Dynamics of Alexandria</w:t>
      </w:r>
    </w:p>
    <w:p>
      <w:pPr>
        <w:pStyle w:val="FirstParagraph"/>
      </w:pPr>
      <w:r>
        <w:t xml:space="preserve">The economic landscape of Alexandria is characterized by a mix of traditional manufacturing, logistics, tourism services, and an emerging tech startup ecosystem. For a Sales Executive targeting this region in Egypt:</w:t>
      </w:r>
    </w:p>
    <w:p>
      <w:pPr>
        <w:numPr>
          <w:ilvl w:val="0"/>
          <w:numId w:val="1001"/>
        </w:numPr>
        <w:pStyle w:val="Compact"/>
      </w:pPr>
      <w:r>
        <w:rPr>
          <w:bCs/>
          <w:b/>
        </w:rPr>
        <w:t xml:space="preserve">Demographic Diversity:</w:t>
      </w:r>
      <w:r>
        <w:t xml:space="preserve"> </w:t>
      </w:r>
      <w:r>
        <w:t xml:space="preserve">The workforce is highly educated yet price-sensitive. Understanding the purchasing power parity (PPP) in different districts—from the historic city center to the new administrative developments—is crucial for pricing strategies.</w:t>
      </w:r>
    </w:p>
    <w:p>
      <w:pPr>
        <w:numPr>
          <w:ilvl w:val="0"/>
          <w:numId w:val="1001"/>
        </w:numPr>
        <w:pStyle w:val="Compact"/>
      </w:pPr>
      <w:r>
        <w:rPr>
          <w:bCs/>
          <w:b/>
        </w:rPr>
        <w:t xml:space="preserve">Cultural Nuances:</w:t>
      </w:r>
      <w:r>
        <w:t xml:space="preserve"> </w:t>
      </w:r>
      <w:r>
        <w:t xml:space="preserve">Business in Egypt, and specifically Alexandria, relies heavily on "Wasta" (connections/influence) and personal trust. A Sales Executive must prioritize face-to-face interactions and long-term relationship building over transactional efficiency in the early stages of client engagement.</w:t>
      </w:r>
    </w:p>
    <w:p>
      <w:pPr>
        <w:numPr>
          <w:ilvl w:val="0"/>
          <w:numId w:val="1001"/>
        </w:numPr>
        <w:pStyle w:val="Compact"/>
      </w:pPr>
      <w:r>
        <w:rPr>
          <w:bCs/>
          <w:b/>
        </w:rPr>
        <w:t xml:space="preserve">Economic Volatility:</w:t>
      </w:r>
      <w:r>
        <w:t xml:space="preserve"> </w:t>
      </w:r>
      <w:r>
        <w:t xml:space="preserve">Navigating currency fluctuation and inflation requires agile pricing models. The modern Sales Executive in Alexandria must be adept at value-proposition selling rather than competing solely on price, especially when dealing with B2B clients who are looking for cost-saving efficiencies amidst inflation.</w:t>
      </w:r>
    </w:p>
    <w:bookmarkEnd w:id="24"/>
    <w:bookmarkStart w:id="25" w:name="core-competencies-required"/>
    <w:p>
      <w:pPr>
        <w:pStyle w:val="Heading3"/>
      </w:pPr>
      <w:r>
        <w:t xml:space="preserve">3. Core Competencies Required</w:t>
      </w:r>
    </w:p>
    <w:p>
      <w:pPr>
        <w:pStyle w:val="FirstParagraph"/>
      </w:pPr>
      <w:r>
        <w:t xml:space="preserve">To succeed in the Alexandria market, a Sales Executive must possess a specific set of competencies identified through our academic review:</w:t>
      </w:r>
    </w:p>
    <w:p>
      <w:pPr>
        <w:numPr>
          <w:ilvl w:val="0"/>
          <w:numId w:val="1002"/>
        </w:numPr>
        <w:pStyle w:val="Compact"/>
      </w:pPr>
      <w:r>
        <w:rPr>
          <w:bCs/>
          <w:b/>
        </w:rPr>
        <w:t xml:space="preserve">Cultural Intelligence (CQ):</w:t>
      </w:r>
      <w:r>
        <w:t xml:space="preserve"> </w:t>
      </w:r>
      <w:r>
        <w:t xml:space="preserve">The ability to navigate the formal hierarchies often present in Egyptian family-owned businesses versus the flatter structures of international firms.</w:t>
      </w:r>
    </w:p>
    <w:p>
      <w:pPr>
        <w:numPr>
          <w:ilvl w:val="0"/>
          <w:numId w:val="1002"/>
        </w:numPr>
        <w:pStyle w:val="Compact"/>
      </w:pPr>
      <w:r>
        <w:rPr>
          <w:bCs/>
          <w:b/>
        </w:rPr>
        <w:t xml:space="preserve">Linguistic Adaptability:</w:t>
      </w:r>
      <w:r>
        <w:t xml:space="preserve"> </w:t>
      </w:r>
      <w:r>
        <w:t xml:space="preserve">While English is the language of business, fluency in Arabic and an understanding of Alexandrian dialects facilitate deeper rapport building.</w:t>
      </w:r>
    </w:p>
    <w:p>
      <w:pPr>
        <w:numPr>
          <w:ilvl w:val="0"/>
          <w:numId w:val="1002"/>
        </w:numPr>
        <w:pStyle w:val="Compact"/>
      </w:pPr>
      <w:r>
        <w:rPr>
          <w:bCs/>
          <w:b/>
        </w:rPr>
        <w:t xml:space="preserve">Digital Fluency:</w:t>
      </w:r>
      <w:r>
        <w:t xml:space="preserve"> </w:t>
      </w:r>
      <w:r>
        <w:t xml:space="preserve">The integration of CRM tools (such as Salesforce or HubSpot) with local communication channels like WhatsApp Business, which is ubiquitous in Egyptian commercial transactions.</w:t>
      </w:r>
    </w:p>
    <w:bookmarkEnd w:id="25"/>
    <w:bookmarkStart w:id="26" w:name="the-alexandria-model-sales-framework"/>
    <w:p>
      <w:pPr>
        <w:pStyle w:val="Heading3"/>
      </w:pPr>
      <w:r>
        <w:t xml:space="preserve">4. The "Alexandria Model" Sales Framework</w:t>
      </w:r>
    </w:p>
    <w:p>
      <w:pPr>
        <w:pStyle w:val="FirstParagraph"/>
      </w:pPr>
      <w:r>
        <w:t xml:space="preserve">We propose a four-phase strategic framework tailored for the region:</w:t>
      </w:r>
    </w:p>
    <w:p>
      <w:pPr>
        <w:numPr>
          <w:ilvl w:val="0"/>
          <w:numId w:val="1003"/>
        </w:numPr>
        <w:pStyle w:val="Compact"/>
      </w:pPr>
      <w:r>
        <w:rPr>
          <w:bCs/>
          <w:b/>
        </w:rPr>
        <w:t xml:space="preserve">Market Segmentation &amp; Localization:</w:t>
      </w:r>
      <w:r>
        <w:t xml:space="preserve"> </w:t>
      </w:r>
      <w:r>
        <w:t xml:space="preserve">Move beyond broad national categorizations. Segment Alexandria into specific zones (e.g., Industrial Sidi Gaber vs. Commercial Fouad Street) and tailor pitches accordingly.</w:t>
      </w:r>
    </w:p>
    <w:p>
      <w:pPr>
        <w:numPr>
          <w:ilvl w:val="0"/>
          <w:numId w:val="1003"/>
        </w:numPr>
        <w:pStyle w:val="Compact"/>
      </w:pPr>
      <w:r>
        <w:rPr>
          <w:bCs/>
          <w:b/>
        </w:rPr>
        <w:t xml:space="preserve">Trust-Based Acquisition:</w:t>
      </w:r>
      <w:r>
        <w:t xml:space="preserve"> </w:t>
      </w:r>
      <w:r>
        <w:t xml:space="preserve">Utilize local networking events, chambers of commerce, and university partnerships to build credibility before direct sales outreach.</w:t>
      </w:r>
    </w:p>
    <w:p>
      <w:pPr>
        <w:numPr>
          <w:ilvl w:val="0"/>
          <w:numId w:val="1003"/>
        </w:numPr>
        <w:pStyle w:val="Compact"/>
      </w:pPr>
      <w:r>
        <w:rPr>
          <w:bCs/>
          <w:b/>
        </w:rPr>
        <w:t xml:space="preserve">Negotiation &amp; Value Engineering:</w:t>
      </w:r>
      <w:r>
        <w:t xml:space="preserve"> </w:t>
      </w:r>
      <w:r>
        <w:t xml:space="preserve">In the Egyptian market, negotiation is a dance. The Sales Executive must be prepared for multi-layered negotiations involving various stakeholders within a single client organization.</w:t>
      </w:r>
    </w:p>
    <w:p>
      <w:pPr>
        <w:numPr>
          <w:ilvl w:val="0"/>
          <w:numId w:val="1003"/>
        </w:numPr>
        <w:pStyle w:val="Compact"/>
      </w:pPr>
      <w:r>
        <w:rPr>
          <w:bCs/>
          <w:b/>
        </w:rPr>
        <w:t xml:space="preserve">Retail &amp; Retention:</w:t>
      </w:r>
      <w:r>
        <w:t xml:space="preserve"> </w:t>
      </w:r>
      <w:r>
        <w:t xml:space="preserve">Post-sale service is critical. In Alexandria, word-of-mouth travels quickly. Exceptional after-sales support transforms clients into brand ambassadors.</w:t>
      </w:r>
    </w:p>
    <w:bookmarkEnd w:id="26"/>
    <w:bookmarkStart w:id="27" w:name="challenges-and-strategic-mitigations"/>
    <w:p>
      <w:pPr>
        <w:pStyle w:val="Heading3"/>
      </w:pPr>
      <w:r>
        <w:t xml:space="preserve">5. Challenges and Strategic Mitigations</w:t>
      </w:r>
    </w:p>
    <w:p>
      <w:pPr>
        <w:pStyle w:val="FirstParagraph"/>
      </w:pPr>
      <w:r>
        <w:rPr>
          <w:bCs/>
          <w:b/>
        </w:rPr>
        <w:t xml:space="preserve">Bureaucracy:</w:t>
      </w:r>
      <w:r>
        <w:t xml:space="preserve"> </w:t>
      </w:r>
      <w:r>
        <w:t xml:space="preserve">Navigating local regulatory requirements can slow down deal cycles.</w:t>
      </w:r>
      <w:r>
        <w:br/>
      </w:r>
      <w:r>
        <w:rPr>
          <w:iCs/>
          <w:i/>
        </w:rPr>
        <w:t xml:space="preserve">Mitigation:</w:t>
      </w:r>
      <w:r>
        <w:t xml:space="preserve"> </w:t>
      </w:r>
      <w:r>
        <w:t xml:space="preserve">Hire local administrative support to handle compliance paperwork efficiently.</w:t>
      </w:r>
    </w:p>
    <w:p>
      <w:pPr>
        <w:pStyle w:val="BodyText"/>
      </w:pPr>
      <w:r>
        <w:rPr>
          <w:bCs/>
          <w:b/>
        </w:rPr>
        <w:t xml:space="preserve">Talent Retention:</w:t>
      </w:r>
      <w:r>
        <w:t xml:space="preserve"> </w:t>
      </w:r>
      <w:r>
        <w:t xml:space="preserve">High turnover in sales roles due to competition from Cairo-based remote jobs.</w:t>
      </w:r>
      <w:r>
        <w:br/>
      </w:r>
      <w:r>
        <w:rPr>
          <w:iCs/>
          <w:i/>
        </w:rPr>
        <w:t xml:space="preserve">Mitigation:</w:t>
      </w:r>
      <w:r>
        <w:t xml:space="preserve"> </w:t>
      </w:r>
      <w:r>
        <w:t xml:space="preserve">Offer competitive incentives tied to local market realities, including transportation allowances and flexible working hours that respect local prayer times and family structures.</w:t>
      </w:r>
    </w:p>
    <w:p>
      <w:pPr>
        <w:pStyle w:val="BodyText"/>
      </w:pPr>
      <w:r>
        <w:rPr>
          <w:bCs/>
          <w:b/>
        </w:rPr>
        <w:t xml:space="preserve">Economic Fluctuation:</w:t>
      </w:r>
      <w:r>
        <w:t xml:space="preserve"> </w:t>
      </w:r>
      <w:r>
        <w:t xml:space="preserve">Changing import/export regulations affect supply chains.</w:t>
      </w:r>
      <w:r>
        <w:br/>
      </w:r>
      <w:r>
        <w:rPr>
          <w:iCs/>
          <w:i/>
        </w:rPr>
        <w:t xml:space="preserve">Mitigation:</w:t>
      </w:r>
      <w:r>
        <w:t xml:space="preserve"> </w:t>
      </w:r>
      <w:r>
        <w:t xml:space="preserve">Diversify the product portfolio to include locally sourced alternatives or services that reduce dependency on imported goods.</w:t>
      </w:r>
    </w:p>
    <w:bookmarkEnd w:id="27"/>
    <w:bookmarkStart w:id="28" w:name="conclusion-and-future-outlook"/>
    <w:p>
      <w:pPr>
        <w:pStyle w:val="Heading3"/>
      </w:pPr>
      <w:r>
        <w:t xml:space="preserve">6. Conclusion and Future Outlook</w:t>
      </w:r>
    </w:p>
    <w:p>
      <w:pPr>
        <w:pStyle w:val="FirstParagraph"/>
      </w:pPr>
      <w:r>
        <w:t xml:space="preserve">The role of the Sales Executive in Alexandria is evolving from a mere transactional agent to a strategic market partner. As Egypt continues to push for economic diversification and digital transformation, Alexandria’s position as a logistical and cultural hub strengthens.</w:t>
      </w:r>
    </w:p>
    <w:p>
      <w:pPr>
        <w:pStyle w:val="BodyText"/>
      </w:pPr>
      <w:r>
        <w:t xml:space="preserve">Success in this region demands that organizations invest not just in software or products, but in human capital capable of navigating the intricate web of Egyptian commerce. The academic consensus suggests that companies adopting a localized, relationship-centric approach outperform those imposing standardized global sales tactics.</w:t>
      </w:r>
    </w:p>
    <w:p>
      <w:pPr>
        <w:pStyle w:val="BodyText"/>
      </w:pPr>
      <w:r>
        <w:rPr>
          <w:bCs/>
          <w:b/>
        </w:rPr>
        <w:t xml:space="preserve">Key Takeaway:</w:t>
      </w:r>
      <w:r>
        <w:t xml:space="preserve"> </w:t>
      </w:r>
      <w:r>
        <w:t xml:space="preserve">For sustainable growth in Egypt’s Alexandria, the Sales Executive must act as a cultural bridge, leveraging local trust networks while implementing robust digital sales architectures.</w:t>
      </w:r>
    </w:p>
    <w:bookmarkEnd w:id="28"/>
    <w:p>
      <w:pPr>
        <w:pStyle w:val="BodyText"/>
      </w:pPr>
      <w:r>
        <w:t xml:space="preserve">© 2023 Academic Research on Regional Sales Strategies | All Rights Reserved | Focus: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Leadership in Alexandria: A Framework for Market Penetration and Revenue Growth</dc:title>
  <dc:creator/>
  <dc:language>en</dc:language>
  <cp:keywords/>
  <dcterms:created xsi:type="dcterms:W3CDTF">2026-07-29T18:06:36Z</dcterms:created>
  <dcterms:modified xsi:type="dcterms:W3CDTF">2026-07-29T18:06:36Z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