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Strategic</w:t>
      </w:r>
      <w:r>
        <w:t xml:space="preserve"> </w:t>
      </w:r>
      <w:r>
        <w:t xml:space="preserve">Framework:</w:t>
      </w:r>
      <w:r>
        <w:t xml:space="preserve"> </w:t>
      </w:r>
      <w:r>
        <w:t xml:space="preserve">Poster</w:t>
      </w:r>
      <w:r>
        <w:t xml:space="preserve"> </w:t>
      </w:r>
      <w:r>
        <w:t xml:space="preserve">Presentation</w:t>
      </w:r>
      <w:r>
        <w:t xml:space="preserve"> </w:t>
      </w:r>
      <w:r>
        <w:t xml:space="preserve">for</w:t>
      </w:r>
      <w:r>
        <w:t xml:space="preserve"> </w:t>
      </w:r>
      <w:r>
        <w:t xml:space="preserve">Germany</w:t>
      </w:r>
      <w:r>
        <w:t xml:space="preserve"> </w:t>
      </w:r>
      <w:r>
        <w:t xml:space="preserve">Frankfurt</w:t>
      </w:r>
    </w:p>
    <w:bookmarkStart w:id="21" w:name="Xd834d41bf742e9220421681fe1ac96a5fbd6f5e"/>
    <w:p>
      <w:pPr>
        <w:pStyle w:val="Heading1"/>
      </w:pPr>
      <w:r>
        <w:t xml:space="preserve">Sales Executive Strategy: Navigating the Frankfurt Market</w:t>
      </w:r>
    </w:p>
    <w:bookmarkStart w:id="20" w:name="X2cecc4a8e81da7845791a4e49f7be743d075ac7"/>
    <w:p>
      <w:pPr>
        <w:pStyle w:val="Heading2"/>
      </w:pPr>
      <w:r>
        <w:t xml:space="preserve">A Data-Driven Approach to Enterprise Growth in Germany’s Financial Hub</w:t>
      </w:r>
    </w:p>
    <w:bookmarkEnd w:id="20"/>
    <w:bookmarkEnd w:id="21"/>
    <w:p>
      <w:pPr>
        <w:pStyle w:val="FirstParagraph"/>
      </w:pPr>
      <w:r>
        <w:t xml:space="preserve">Presented by: Sales Operations Division | Date: October 2023 | Location Focus: Germany, Frankfurt am Main</w:t>
      </w:r>
    </w:p>
    <w:bookmarkStart w:id="22" w:name="introduction-and-contextual-framework"/>
    <w:p>
      <w:pPr>
        <w:pStyle w:val="Heading3"/>
      </w:pPr>
      <w:r>
        <w:t xml:space="preserve">Introduction and Contextual Framework</w:t>
      </w:r>
    </w:p>
    <w:p>
      <w:pPr>
        <w:pStyle w:val="FirstParagraph"/>
      </w:pPr>
      <w:r>
        <w:t xml:space="preserve">The role of a</w:t>
      </w:r>
      <w:r>
        <w:t xml:space="preserve"> </w:t>
      </w:r>
      <w:r>
        <w:rPr>
          <w:bCs/>
          <w:b/>
        </w:rPr>
        <w:t xml:space="preserve">Sales Executive</w:t>
      </w:r>
      <w:r>
        <w:t xml:space="preserve"> </w:t>
      </w:r>
      <w:r>
        <w:t xml:space="preserve">in the modern enterprise is no longer merely transactional; it requires deep strategic acumen, cultural intelligence, and an understanding of macroeconomic indicators. This poster presentation outlines the critical competencies and tactical frameworks required for success specifically within Germany’s economic capital:</w:t>
      </w:r>
      <w:r>
        <w:t xml:space="preserve"> </w:t>
      </w:r>
      <w:r>
        <w:rPr>
          <w:bCs/>
          <w:b/>
        </w:rPr>
        <w:t xml:space="preserve">Frankfurt am Main</w:t>
      </w:r>
      <w:r>
        <w:t xml:space="preserve">. As a global nexus for finance, trade fairs (such as the Frankfurter Buchmesse), and technology innovation, Frankfurt presents a unique ecosystem where precision, reliability, and relationship-building are paramount. This document details how a top-tier Sales Executive can effectively penetrate this high-stakes market.</w:t>
      </w:r>
    </w:p>
    <w:p>
      <w:pPr>
        <w:pStyle w:val="BodyText"/>
      </w:pPr>
      <w:r>
        <w:t xml:space="preserve">Frankfurt’s status as the seat of the European Central Bank (ECB) and numerous DAX-listed corporations demands that our sales strategies be tailored to meet exacting standards of professionalism. The local business culture is distinct; decisions are rarely impulsive. Therefore, a successful</w:t>
      </w:r>
      <w:r>
        <w:t xml:space="preserve"> </w:t>
      </w:r>
      <w:r>
        <w:rPr>
          <w:bCs/>
          <w:b/>
        </w:rPr>
        <w:t xml:space="preserve">Sales Executive</w:t>
      </w:r>
      <w:r>
        <w:t xml:space="preserve"> </w:t>
      </w:r>
      <w:r>
        <w:t xml:space="preserve">must align their pitch with German values of efficiency, data integrity, and long-term sustainability.</w:t>
      </w:r>
    </w:p>
    <w:bookmarkEnd w:id="22"/>
    <w:bookmarkStart w:id="23" w:name="primary-strategic-objectives-in-germany"/>
    <w:p>
      <w:pPr>
        <w:pStyle w:val="Heading3"/>
      </w:pPr>
      <w:r>
        <w:t xml:space="preserve">Primary Strategic Objectives in Germany</w:t>
      </w:r>
    </w:p>
    <w:p>
      <w:pPr>
        <w:pStyle w:val="FirstParagraph"/>
      </w:pPr>
      <w:r>
        <w:t xml:space="preserve">The primary objective for our sales force operating in</w:t>
      </w:r>
      <w:r>
        <w:t xml:space="preserve"> </w:t>
      </w:r>
      <w:r>
        <w:rPr>
          <w:bCs/>
          <w:b/>
        </w:rPr>
        <w:t xml:space="preserve">Germany</w:t>
      </w:r>
      <w:r>
        <w:t xml:space="preserve">, specifically centered around the Frankfurt metropolitan area, is to establish sustainable B2B partnerships rather than one-off transactions. Our goals include:</w:t>
      </w:r>
    </w:p>
    <w:p>
      <w:pPr>
        <w:numPr>
          <w:ilvl w:val="0"/>
          <w:numId w:val="1001"/>
        </w:numPr>
        <w:pStyle w:val="Compact"/>
      </w:pPr>
      <w:r>
        <w:rPr>
          <w:bCs/>
          <w:b/>
        </w:rPr>
        <w:t xml:space="preserve">Market Penetration:</w:t>
      </w:r>
      <w:r>
        <w:t xml:space="preserve"> </w:t>
      </w:r>
      <w:r>
        <w:t xml:space="preserve">Capturing a 15% share of the mid-market financial services sector within 18 months.</w:t>
      </w:r>
    </w:p>
    <w:p>
      <w:pPr>
        <w:numPr>
          <w:ilvl w:val="0"/>
          <w:numId w:val="1001"/>
        </w:numPr>
        <w:pStyle w:val="Compact"/>
      </w:pPr>
      <w:r>
        <w:rPr>
          <w:bCs/>
          <w:b/>
        </w:rPr>
        <w:t xml:space="preserve">Cultural Integration:</w:t>
      </w:r>
      <w:r>
        <w:t xml:space="preserve"> </w:t>
      </w:r>
      <w:r>
        <w:t xml:space="preserve">Ensuring all communication aligns with German business etiquette (e.g., punctuality, formal address protocols).</w:t>
      </w:r>
    </w:p>
    <w:bookmarkEnd w:id="23"/>
    <w:bookmarkStart w:id="24" w:name="X7a419c638d9cda11884ca22581c42935ab0978e"/>
    <w:p>
      <w:pPr>
        <w:pStyle w:val="Heading3"/>
      </w:pPr>
      <w:r>
        <w:t xml:space="preserve">The Frankfurt Advantage: Regional Specifics</w:t>
      </w:r>
    </w:p>
    <w:p>
      <w:pPr>
        <w:pStyle w:val="FirstParagraph"/>
      </w:pPr>
      <w:r>
        <w:t xml:space="preserve">Focusing our efforts on</w:t>
      </w:r>
      <w:r>
        <w:t xml:space="preserve"> </w:t>
      </w:r>
      <w:r>
        <w:rPr>
          <w:bCs/>
          <w:b/>
        </w:rPr>
        <w:t xml:space="preserve">Frankfurt</w:t>
      </w:r>
      <w:r>
        <w:t xml:space="preserve"> </w:t>
      </w:r>
      <w:r>
        <w:t xml:space="preserve">offers unparalleled access to key decision-makers. The city’s dense concentration of multinational banks, insurance firms, and logistics giants creates a natural networking ecosystem. However, it also implies intense competition from established local players.</w:t>
      </w:r>
    </w:p>
    <w:p>
      <w:pPr>
        <w:pStyle w:val="BodyText"/>
      </w:pPr>
      <w:r>
        <w:t xml:space="preserve">A successful Sales Executive must leverage Frankfurt's infrastructure—such as the Messe (Trade Fair Center) and its robust connectivity—to host exclusive client briefings. The local consumer mindset in</w:t>
      </w:r>
      <w:r>
        <w:t xml:space="preserve"> </w:t>
      </w:r>
      <w:r>
        <w:rPr>
          <w:bCs/>
          <w:b/>
        </w:rPr>
        <w:t xml:space="preserve">Germany</w:t>
      </w:r>
      <w:r>
        <w:t xml:space="preserve"> </w:t>
      </w:r>
      <w:r>
        <w:t xml:space="preserve">favors quality over quantity. Consequently, our product demonstrations must highlight technical superiority, regulatory compliance (GDPR adherence), and ROI transparency.</w:t>
      </w:r>
    </w:p>
    <w:bookmarkEnd w:id="24"/>
    <w:bookmarkStart w:id="25" w:name="competency-framework-for-success"/>
    <w:p>
      <w:pPr>
        <w:pStyle w:val="Heading3"/>
      </w:pPr>
      <w:r>
        <w:t xml:space="preserve">Competency Framework for Success</w:t>
      </w:r>
    </w:p>
    <w:p>
      <w:pPr>
        <w:pStyle w:val="FirstParagraph"/>
      </w:pPr>
      <w:r>
        <w:t xml:space="preserve">To excel as a</w:t>
      </w:r>
      <w:r>
        <w:t xml:space="preserve"> </w:t>
      </w:r>
      <w:r>
        <w:rPr>
          <w:bCs/>
          <w:b/>
        </w:rPr>
        <w:t xml:space="preserve">Sales Executive</w:t>
      </w:r>
      <w:r>
        <w:t xml:space="preserve"> </w:t>
      </w:r>
      <w:r>
        <w:t xml:space="preserve">in this region, three core competencies are non-negotiable:</w:t>
      </w:r>
    </w:p>
    <w:p>
      <w:pPr>
        <w:numPr>
          <w:ilvl w:val="0"/>
          <w:numId w:val="1002"/>
        </w:numPr>
        <w:pStyle w:val="Compact"/>
      </w:pPr>
      <w:r>
        <w:rPr>
          <w:bCs/>
          <w:b/>
        </w:rPr>
        <w:t xml:space="preserve">Linguistic and Cultural Fluency:</w:t>
      </w:r>
      <w:r>
        <w:t xml:space="preserve"> </w:t>
      </w:r>
      <w:r>
        <w:t xml:space="preserve">While English is widely spoken in Frankfurt’s corporate sector, German proficiency significantly accelerates trust-building.</w:t>
      </w:r>
    </w:p>
    <w:bookmarkEnd w:id="25"/>
    <w:bookmarkStart w:id="26" w:name="core-competencies-required"/>
    <w:p>
      <w:pPr>
        <w:pStyle w:val="Heading4"/>
      </w:pPr>
      <w:r>
        <w:t xml:space="preserve">Core Competencies Required:</w:t>
      </w:r>
    </w:p>
    <w:p>
      <w:pPr>
        <w:numPr>
          <w:ilvl w:val="0"/>
          <w:numId w:val="1003"/>
        </w:numPr>
        <w:pStyle w:val="Compact"/>
      </w:pPr>
      <w:r>
        <w:rPr>
          <w:bCs/>
          <w:b/>
        </w:rPr>
        <w:t xml:space="preserve">Rapport Building via Formality:</w:t>
      </w:r>
      <w:r>
        <w:t xml:space="preserve"> </w:t>
      </w:r>
      <w:r>
        <w:t xml:space="preserve">Initial interactions must utilize formal titles (Herr/Frau + Surname).</w:t>
      </w:r>
    </w:p>
    <w:bookmarkEnd w:id="26"/>
    <w:p>
      <w:pPr>
        <w:numPr>
          <w:ilvl w:val="0"/>
          <w:numId w:val="1004"/>
        </w:numPr>
        <w:pStyle w:val="Compact"/>
      </w:pPr>
      <w:r>
        <w:rPr>
          <w:bCs/>
          <w:b/>
        </w:rPr>
        <w:t xml:space="preserve">Data Literacy:</w:t>
      </w:r>
      <w:r>
        <w:t xml:space="preserve"> </w:t>
      </w:r>
      <w:r>
        <w:t xml:space="preserve">German clients expect granular data to support sales claims. Vague marketing fluff is disregarded; empirical evidence is required.</w:t>
      </w:r>
    </w:p>
    <w:p>
      <w:pPr>
        <w:numPr>
          <w:ilvl w:val="0"/>
          <w:numId w:val="1004"/>
        </w:numPr>
        <w:pStyle w:val="Compact"/>
      </w:pPr>
      <w:r>
        <w:rPr>
          <w:bCs/>
          <w:b/>
        </w:rPr>
        <w:t xml:space="preserve">Negotiation Resilience:</w:t>
      </w:r>
      <w:r>
        <w:t xml:space="preserve"> </w:t>
      </w:r>
      <w:r>
        <w:t xml:space="preserve">Understanding the direct negotiation style typical in</w:t>
      </w:r>
      <w:r>
        <w:t xml:space="preserve"> </w:t>
      </w:r>
      <w:r>
        <w:rPr>
          <w:bCs/>
          <w:b/>
        </w:rPr>
        <w:t xml:space="preserve">Germany</w:t>
      </w:r>
      <w:r>
        <w:t xml:space="preserve">. Questions are factual, and silence during negotiations indicates thought, not disengagement.</w:t>
      </w:r>
    </w:p>
    <w:bookmarkStart w:id="27" w:name="X658dae1e6e108481a7212f8f2861da5a1d7768b"/>
    <w:p>
      <w:pPr>
        <w:pStyle w:val="Heading3"/>
      </w:pPr>
      <w:r>
        <w:t xml:space="preserve">Target Demographic Analysis: Frankfurt Region</w:t>
      </w:r>
    </w:p>
    <w:p>
      <w:pPr>
        <w:pStyle w:val="FirstParagraph"/>
      </w:pPr>
      <w:r>
        <w:t xml:space="preserve">The following table categorizes the primary targets for our</w:t>
      </w:r>
      <w:r>
        <w:t xml:space="preserve"> </w:t>
      </w:r>
      <w:r>
        <w:rPr>
          <w:bCs/>
          <w:b/>
        </w:rPr>
        <w:t xml:space="preserve">Sales Executive</w:t>
      </w:r>
      <w:r>
        <w:t xml:space="preserve"> </w:t>
      </w:r>
      <w:r>
        <w:t xml:space="preserve">team based on industry clusters located in and around Frankfurt.</w:t>
      </w:r>
    </w:p>
    <w:p>
      <w:pPr>
        <w:pStyle w:val="BodyText"/>
      </w:pPr>
      <w:r>
        <w:t xml:space="preserve">Sector</w:t>
      </w:r>
    </w:p>
    <w:bookmarkEnd w:id="27"/>
    <w:p>
      <w:pPr>
        <w:pStyle w:val="BodyText"/>
      </w:pPr>
      <w:r>
        <w:t xml:space="preserve">Key Decision Makers</w:t>
      </w:r>
    </w:p>
    <w:p>
      <w:pPr>
        <w:pStyle w:val="BodyText"/>
      </w:pPr>
      <w:r>
        <w:t xml:space="preserve">This segmentation allows the</w:t>
      </w:r>
      <w:r>
        <w:t xml:space="preserve"> </w:t>
      </w:r>
      <w:r>
        <w:rPr>
          <w:bCs/>
          <w:b/>
        </w:rPr>
        <w:t xml:space="preserve">Sales Executive</w:t>
      </w:r>
      <w:r>
        <w:t xml:space="preserve"> </w:t>
      </w:r>
      <w:r>
        <w:t xml:space="preserve">to tailor messaging precisely. For instance, fintech clients in</w:t>
      </w:r>
      <w:r>
        <w:t xml:space="preserve"> </w:t>
      </w:r>
      <w:r>
        <w:rPr>
          <w:bCs/>
          <w:b/>
        </w:rPr>
        <w:t xml:space="preserve">Frankfurt</w:t>
      </w:r>
      <w:r>
        <w:t xml:space="preserve"> </w:t>
      </w:r>
      <w:r>
        <w:t xml:space="preserve">require agility and API integration details, while traditional banking executives prioritize stability and compliance.</w:t>
      </w:r>
    </w:p>
    <w:bookmarkStart w:id="28" w:name="marketing-and-sales-tactics-in-germany"/>
    <w:p>
      <w:pPr>
        <w:pStyle w:val="Heading3"/>
      </w:pPr>
      <w:r>
        <w:t xml:space="preserve">Marketing and Sales Tactics in Germany</w:t>
      </w:r>
    </w:p>
    <w:p>
      <w:pPr>
        <w:pStyle w:val="FirstParagraph"/>
      </w:pPr>
      <w:r>
        <w:t xml:space="preserve">A hybrid approach is recommended for the</w:t>
      </w:r>
      <w:r>
        <w:t xml:space="preserve"> </w:t>
      </w:r>
      <w:r>
        <w:rPr>
          <w:bCs/>
          <w:b/>
        </w:rPr>
        <w:t xml:space="preserve">Sales Executive</w:t>
      </w:r>
      <w:r>
        <w:t xml:space="preserve">. While digital channels (LinkedIn, Xing – the German professional network) are vital for lead generation, face-to-face interactions remain the gold standard in Frankfurt. We propose a "Showcase &amp; Validate" model.</w:t>
      </w:r>
    </w:p>
    <w:p>
      <w:pPr>
        <w:numPr>
          <w:ilvl w:val="0"/>
          <w:numId w:val="1005"/>
        </w:numPr>
        <w:pStyle w:val="Compact"/>
      </w:pPr>
      <w:r>
        <w:rPr>
          <w:bCs/>
          <w:b/>
        </w:rPr>
        <w:t xml:space="preserve">Phase 1: Digital Pre-qualifying:</w:t>
      </w:r>
      <w:r>
        <w:t xml:space="preserve"> </w:t>
      </w:r>
      <w:r>
        <w:t xml:space="preserve">Utilizing data analytics to identify high-potential leads within the</w:t>
      </w:r>
      <w:r>
        <w:t xml:space="preserve"> </w:t>
      </w:r>
      <w:r>
        <w:rPr>
          <w:iCs/>
          <w:i/>
        </w:rPr>
        <w:t xml:space="preserve">Mainta</w:t>
      </w:r>
      <w:r>
        <w:t xml:space="preserve"> </w:t>
      </w:r>
      <w:r>
        <w:t xml:space="preserve">region of</w:t>
      </w:r>
      <w:r>
        <w:t xml:space="preserve"> </w:t>
      </w:r>
      <w:r>
        <w:rPr>
          <w:bCs/>
          <w:b/>
        </w:rPr>
        <w:t xml:space="preserve">Hessen</w:t>
      </w:r>
      <w:r>
        <w:t xml:space="preserve">.</w:t>
      </w:r>
    </w:p>
    <w:p>
      <w:pPr>
        <w:pStyle w:val="FirstParagraph"/>
      </w:pPr>
      <w:r>
        <w:t xml:space="preserve">This ensures that the Sales Executive spends time only on qualified opportunities.</w:t>
      </w:r>
    </w:p>
    <w:bookmarkEnd w:id="28"/>
    <w:bookmarkStart w:id="29" w:name="conclusion-and-future-outlook"/>
    <w:p>
      <w:pPr>
        <w:pStyle w:val="Heading3"/>
      </w:pPr>
      <w:r>
        <w:t xml:space="preserve">Conclusion and Future Outlook</w:t>
      </w:r>
    </w:p>
    <w:p>
      <w:pPr>
        <w:pStyle w:val="FirstParagraph"/>
      </w:pPr>
      <w:r>
        <w:t xml:space="preserve">In conclusion, dominating the sales landscape in</w:t>
      </w:r>
      <w:r>
        <w:t xml:space="preserve"> </w:t>
      </w:r>
      <w:r>
        <w:rPr>
          <w:bCs/>
          <w:b/>
        </w:rPr>
        <w:t xml:space="preserve">Germany</w:t>
      </w:r>
      <w:r>
        <w:t xml:space="preserve">, particularly within the dynamic hub of</w:t>
      </w:r>
      <w:r>
        <w:t xml:space="preserve"> </w:t>
      </w:r>
      <w:r>
        <w:rPr>
          <w:bCs/>
          <w:b/>
        </w:rPr>
        <w:t xml:space="preserve">Frankfurt am Main</w:t>
      </w:r>
      <w:r>
        <w:t xml:space="preserve">, requires a disciplined, educated, and culturally sensitive approach. The modern Sales Executive must transition from being a mere vendor to becoming a strategic consultant. By adhering to rigorous standards of professionalism and leveraging the immense networking opportunities present in Frankfurt’s financial district, our organization can secure long-term growth.</w:t>
      </w:r>
    </w:p>
    <w:p>
      <w:pPr>
        <w:pStyle w:val="BodyText"/>
      </w:pPr>
      <w:r>
        <w:t xml:space="preserve">The future outlook indicates that companies who prioritize localized compliance (such as strict data privacy laws) and personalized relationship management will outperform those relying on generic global sales scripts. This document serves as our foundational framework for executing this strategy effectively.</w:t>
      </w:r>
    </w:p>
    <w:bookmarkEnd w:id="29"/>
    <w:p>
      <w:pPr>
        <w:pStyle w:val="BodyText"/>
      </w:pPr>
      <w:r>
        <w:t xml:space="preserve">© 2023 Academic Sales Strategy Review | Frankfurt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Strategic Framework: Poster Presentation for Germany Frankfurt</dc:title>
  <dc:creator/>
  <dc:language>en</dc:language>
  <cp:keywords/>
  <dcterms:created xsi:type="dcterms:W3CDTF">2026-07-29T19:38:37Z</dcterms:created>
  <dcterms:modified xsi:type="dcterms:W3CDTF">2026-07-29T19:38:37Z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