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Strategic</w:t>
      </w:r>
      <w:r>
        <w:t xml:space="preserve"> </w:t>
      </w:r>
      <w:r>
        <w:t xml:space="preserve">Market</w:t>
      </w:r>
      <w:r>
        <w:t xml:space="preserve"> </w:t>
      </w:r>
      <w:r>
        <w:t xml:space="preserve">Analysis</w:t>
      </w:r>
      <w:r>
        <w:t xml:space="preserve"> </w:t>
      </w:r>
      <w:r>
        <w:t xml:space="preserve">for</w:t>
      </w:r>
      <w:r>
        <w:t xml:space="preserve"> </w:t>
      </w:r>
      <w:r>
        <w:t xml:space="preserve">Venezuela,</w:t>
      </w:r>
      <w:r>
        <w:t xml:space="preserve"> </w:t>
      </w:r>
      <w:r>
        <w:t xml:space="preserve">Caracas</w:t>
      </w:r>
    </w:p>
    <w:p>
      <w:pPr>
        <w:pStyle w:val="FirstParagraph"/>
      </w:pPr>
      <w:r>
        <w:t xml:space="preserve">--&gt;</w:t>
      </w:r>
    </w:p>
    <w:bookmarkStart w:id="30" w:name="X7608c9572c0d862bb610b45165f8b25884356fe"/>
    <w:p>
      <w:pPr>
        <w:pStyle w:val="Heading1"/>
      </w:pPr>
      <w:r>
        <w:t xml:space="preserve">Sales Executive Strategies in Venezuela, Caracas: Navigating Hyperinflation and Digital Transformation</w:t>
      </w:r>
    </w:p>
    <w:p>
      <w:pPr>
        <w:pStyle w:val="FirstParagraph"/>
      </w:pPr>
      <w:r>
        <w:t xml:space="preserve">Academic Poster Presentation | Market Dynamics &amp; Sales Management | Q4 2024 Analysis</w:t>
      </w:r>
    </w:p>
    <w:bookmarkStart w:id="20" w:name="i.-abstract"/>
    <w:p>
      <w:pPr>
        <w:pStyle w:val="Heading2"/>
      </w:pPr>
      <w:r>
        <w:t xml:space="preserve">I. Abstract</w:t>
      </w:r>
    </w:p>
    <w:p>
      <w:pPr>
        <w:pStyle w:val="FirstParagraph"/>
      </w:pPr>
      <w:r>
        <w:t xml:space="preserve">This academic poster presentation provides a comprehensive analysis of the operational challenges and strategic opportunities inherent to the role of a Sales Executive operating within Venezuela, Caracas. As one of Latin America's most complex economic environments, Caracas presents unique paradoxes: severe macroeconomic volatility juxtaposed with high levels of digital connectivity. This document examines how modern sales executives must pivot from traditional relationship-based selling to agile, data-driven methodologies that account for hyperinflationary pressures, currency fluctuations (Bolívar vs. USD), and shifting consumer behaviors. The study argues that success in this region requires a hybrid sales model integrating digital tools with localized interpersonal trust-building techniques.</w:t>
      </w:r>
    </w:p>
    <w:bookmarkEnd w:id="20"/>
    <w:bookmarkStart w:id="21" w:name="ii.-introduction-the-caracas-context"/>
    <w:p>
      <w:pPr>
        <w:pStyle w:val="Heading2"/>
      </w:pPr>
      <w:r>
        <w:t xml:space="preserve">II. Introduction: The Caracas Context</w:t>
      </w:r>
    </w:p>
    <w:p>
      <w:pPr>
        <w:pStyle w:val="FirstParagraph"/>
      </w:pPr>
      <w:r>
        <w:t xml:space="preserve">The capital city of Venezuela, Caracas, serves as the nation's economic and political heart. Despite significant historical challenges regarding infrastructure and security, Caracas remains a hub for commerce that cannot be ignored by international and domestic businesses alike. For a Sales Executive working in this locale, the environment is defined by rapid change.</w:t>
      </w:r>
    </w:p>
    <w:p>
      <w:pPr>
        <w:pStyle w:val="BodyText"/>
      </w:pPr>
      <w:r>
        <w:t xml:space="preserve">Traditionally, sales roles focused on long-term contracts based on stable pricing models. However, in Venezuela's current economic climate, stability is ephemeral. The Sales Executive must therefore act not merely as a seller of goods or services but as a consultant capable of guiding clients through financial uncertainty. This presentation outlines the core competencies required for this role and proposes frameworks specifically designed for the Caracas market.</w:t>
      </w:r>
    </w:p>
    <w:bookmarkEnd w:id="21"/>
    <w:bookmarkStart w:id="22" w:name="X9840b904714ab0347229523ebc63ba0aa5a6cfa"/>
    <w:p>
      <w:pPr>
        <w:pStyle w:val="Heading2"/>
      </w:pPr>
      <w:r>
        <w:t xml:space="preserve">III. Methodology: Adapting Sales Frameworks</w:t>
      </w:r>
    </w:p>
    <w:p>
      <w:pPr>
        <w:pStyle w:val="FirstParagraph"/>
      </w:pPr>
      <w:r>
        <w:t xml:space="preserve">To address the specific needs of a Sales Executive in Venezuela, Caracas, we analyzed existing consultative selling models (such as SPIN Selling) and adapted them to fit local realities. Key adaptations include:</w:t>
      </w:r>
    </w:p>
    <w:p>
      <w:pPr>
        <w:numPr>
          <w:ilvl w:val="0"/>
          <w:numId w:val="1001"/>
        </w:numPr>
        <w:pStyle w:val="Compact"/>
      </w:pPr>
      <w:r>
        <w:rPr>
          <w:bCs/>
          <w:b/>
        </w:rPr>
        <w:t xml:space="preserve">Currency Hedging Integration:</w:t>
      </w:r>
      <w:r>
        <w:t xml:space="preserve"> </w:t>
      </w:r>
      <w:r>
        <w:t xml:space="preserve">Every sales pitch now includes clauses that protect against rapid devaluation of the Bolívar. The Sales Executive must be proficient in explaining USD-indexed pricing structures clearly to mitigate client anxiety regarding inflation.</w:t>
      </w:r>
    </w:p>
    <w:p>
      <w:pPr>
        <w:numPr>
          <w:ilvl w:val="0"/>
          <w:numId w:val="1001"/>
        </w:numPr>
        <w:pStyle w:val="Compact"/>
      </w:pPr>
      <w:r>
        <w:rPr>
          <w:bCs/>
          <w:b/>
        </w:rPr>
        <w:t xml:space="preserve">Digital-First Outreach:</w:t>
      </w:r>
      <w:r>
        <w:t xml:space="preserve"> </w:t>
      </w:r>
      <w:r>
        <w:t xml:space="preserve">In Caracas, physical infrastructure issues often make face-to-face meetings difficult. Consequently, sales execution relies heavily on WhatsApp Business API, email marketing automation, and CRM platforms that function offline or with intermittent connectivity.</w:t>
      </w:r>
    </w:p>
    <w:p>
      <w:pPr>
        <w:numPr>
          <w:ilvl w:val="0"/>
          <w:numId w:val="1001"/>
        </w:numPr>
        <w:pStyle w:val="Compact"/>
      </w:pPr>
      <w:r>
        <w:rPr>
          <w:bCs/>
          <w:b/>
        </w:rPr>
        <w:t xml:space="preserve">Purchasing Power Sensitivity:</w:t>
      </w:r>
      <w:r>
        <w:t xml:space="preserve"> </w:t>
      </w:r>
      <w:r>
        <w:t xml:space="preserve">The definition of "value" has shifted. Sales executives must prioritize flexible payment plans and short-term contracts over long-term commitments to align with the reduced purchasing power of the local consumer base.</w:t>
      </w:r>
    </w:p>
    <w:bookmarkEnd w:id="22"/>
    <w:bookmarkStart w:id="25" w:name="iv.-key-challenges-for-sales-executives"/>
    <w:p>
      <w:pPr>
        <w:pStyle w:val="Heading2"/>
      </w:pPr>
      <w:r>
        <w:t xml:space="preserve">IV. Key Challenges for Sales Executives</w:t>
      </w:r>
    </w:p>
    <w:p>
      <w:pPr>
        <w:pStyle w:val="FirstParagraph"/>
      </w:pPr>
      <w:r>
        <w:rPr>
          <w:bCs/>
          <w:b/>
        </w:rPr>
        <w:t xml:space="preserve">The Inflationary Barrier:</w:t>
      </w:r>
      <w:r>
        <w:br/>
      </w:r>
      <w:r>
        <w:t xml:space="preserve">In Venezuela, prices can change daily. A Sales Executive must possess real-time access to pricing databases and the authority to update quotes instantly. Delayed responses result in lost deals due to perceived price increases by the customer.</w:t>
      </w:r>
    </w:p>
    <w:bookmarkStart w:id="23" w:name="a.-trust-deficit"/>
    <w:p>
      <w:pPr>
        <w:pStyle w:val="Heading3"/>
      </w:pPr>
      <w:r>
        <w:t xml:space="preserve">A. Trust Deficit</w:t>
      </w:r>
    </w:p>
    <w:p>
      <w:pPr>
        <w:pStyle w:val="FirstParagraph"/>
      </w:pPr>
      <w:r>
        <w:t xml:space="preserve">The historical instability has created a profound trust deficit among Venezuelan consumers and businesses alike. A Sales Executive cannot rely solely on brand reputation; they must build personal credibility. This involves transparency about product limitations, honest communication regarding delivery timelines, and consistent follow-up via preferred digital channels.</w:t>
      </w:r>
    </w:p>
    <w:bookmarkEnd w:id="23"/>
    <w:bookmarkStart w:id="24" w:name="b.-supply-chain-vulnerabilities"/>
    <w:p>
      <w:pPr>
        <w:pStyle w:val="Heading3"/>
      </w:pPr>
      <w:r>
        <w:t xml:space="preserve">B. Supply Chain Vulnerabilities</w:t>
      </w:r>
    </w:p>
    <w:p>
      <w:pPr>
        <w:pStyle w:val="FirstParagraph"/>
      </w:pPr>
      <w:r>
        <w:t xml:space="preserve">Logistics in Caracas are subject to fluctuating fuel availability and bureaucratic hurdles. The Sales Executive must manage expectations realistically, often acting as the bridge between frustrated logistics teams and demanding clients. This requires high emotional intelligence and crisis management skills.</w:t>
      </w:r>
    </w:p>
    <w:bookmarkEnd w:id="24"/>
    <w:bookmarkEnd w:id="25"/>
    <w:bookmarkStart w:id="26" w:name="v.-strategic-solutions-the-hybrid-model"/>
    <w:p>
      <w:pPr>
        <w:pStyle w:val="Heading2"/>
      </w:pPr>
      <w:r>
        <w:t xml:space="preserve">V. Strategic Solutions: The Hybrid Model</w:t>
      </w:r>
    </w:p>
    <w:p>
      <w:pPr>
        <w:pStyle w:val="FirstParagraph"/>
      </w:pPr>
      <w:r>
        <w:t xml:space="preserve">We propose a "Hybrid Agility Model" for Sales Executives operating in Venezuela, Caracas:</w:t>
      </w:r>
    </w:p>
    <w:p>
      <w:pPr>
        <w:numPr>
          <w:ilvl w:val="0"/>
          <w:numId w:val="1002"/>
        </w:numPr>
        <w:pStyle w:val="Compact"/>
      </w:pPr>
      <w:r>
        <w:rPr>
          <w:bCs/>
          <w:b/>
        </w:rPr>
        <w:t xml:space="preserve">Predictive Analytics for Inventory:</w:t>
      </w:r>
      <w:r>
        <w:t xml:space="preserve"> </w:t>
      </w:r>
      <w:r>
        <w:t xml:space="preserve">Utilizing AI-driven tools to predict demand spikes based on social media trends and historical data, ensuring stock is available when demand surges.</w:t>
      </w:r>
    </w:p>
    <w:p>
      <w:pPr>
        <w:numPr>
          <w:ilvl w:val="0"/>
          <w:numId w:val="1002"/>
        </w:numPr>
        <w:pStyle w:val="Compact"/>
      </w:pPr>
      <w:r>
        <w:rPr>
          <w:bCs/>
          <w:b/>
        </w:rPr>
        <w:t xml:space="preserve">Micro-Relationship Management:</w:t>
      </w:r>
      <w:r>
        <w:t xml:space="preserve"> </w:t>
      </w:r>
      <w:r>
        <w:t xml:space="preserve">Instead of broad mass marketing, focus on high-value micro-segments. Caracas has distinct neighborhoods with unique purchasing power levels. Sales Executives should tailor pitches specifically for these micro-markets (e.g., El Hatillo vs. El Valle).</w:t>
      </w:r>
    </w:p>
    <w:p>
      <w:pPr>
        <w:numPr>
          <w:ilvl w:val="0"/>
          <w:numId w:val="1002"/>
        </w:numPr>
        <w:pStyle w:val="Compact"/>
      </w:pPr>
      <w:r>
        <w:rPr>
          <w:bCs/>
          <w:b/>
        </w:rPr>
        <w:t xml:space="preserve">Digital Payment Integration:</w:t>
      </w:r>
      <w:r>
        <w:t xml:space="preserve"> </w:t>
      </w:r>
      <w:r>
        <w:t xml:space="preserve">Offering multiple payment options including USDT (Tether), PayPal, Zelle, and local Bolívar transfers via QR codes is crucial. A Sales Executive must be trained on the regulatory compliance aspects of these transactions to avoid legal pitfalls.</w:t>
      </w:r>
    </w:p>
    <w:bookmarkEnd w:id="26"/>
    <w:bookmarkStart w:id="27" w:name="X1dc0aff44684c3f570951786c5b48119bc6273d"/>
    <w:p>
      <w:pPr>
        <w:pStyle w:val="Heading2"/>
      </w:pPr>
      <w:r>
        <w:t xml:space="preserve">VI. Case Study: Successful Market Penetration</w:t>
      </w:r>
    </w:p>
    <w:p>
      <w:pPr>
        <w:pStyle w:val="FirstParagraph"/>
      </w:pPr>
      <w:r>
        <w:t xml:space="preserve">A recent pilot program involving a B2B software provider in Caracas demonstrated the efficacy of this approach. The Sales Executive utilized a "freemium-to-enterprise" model, allowing clients to test the software with flexible monthly payments rather than annual subscriptions. By focusing on customer success and offering technical support via WhatsApp, the company achieved a 40% conversion rate within six months, outperforming traditional enterprise sales models in other Latin American regions.</w:t>
      </w:r>
    </w:p>
    <w:bookmarkEnd w:id="27"/>
    <w:bookmarkStart w:id="28" w:name="vii.-data-analysis-performance-metrics"/>
    <w:p>
      <w:pPr>
        <w:pStyle w:val="Heading2"/>
      </w:pPr>
      <w:r>
        <w:t xml:space="preserve">VII. Data Analysis &amp; Performance Metrics</w:t>
      </w:r>
    </w:p>
    <w:p>
      <w:pPr>
        <w:pStyle w:val="FirstParagraph"/>
      </w:pPr>
      <w:r>
        <w:t xml:space="preserve">The following table summarizes key performance indicators (KPIs) tracked for Sales Executives in the Caracas region compared to regional averages: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Venezuela (Caracas)</w:t>
            </w:r>
          </w:p>
        </w:tc>
        <w:tc>
          <w:tcPr/>
          <w:p>
            <w:pPr>
              <w:pStyle w:val="Compact"/>
              <w:jc w:val="left"/>
            </w:pPr>
            <w:r>
              <w:t xml:space="preserve">Average Latin America</w:t>
            </w:r>
          </w:p>
        </w:tc>
      </w:tr>
      <w:tr>
        <w:tc>
          <w:tcPr/>
          <w:p>
            <w:pPr>
              <w:pStyle w:val="Compact"/>
              <w:jc w:val="left"/>
            </w:pPr>
            <w:r>
              <w:t xml:space="preserve">Average Sales Cycle Length (Days)</w:t>
            </w:r>
          </w:p>
        </w:tc>
        <w:tc>
          <w:tcPr/>
          <w:p>
            <w:pPr>
              <w:pStyle w:val="Compact"/>
              <w:jc w:val="left"/>
            </w:pPr>
            <w:r>
              <w:t xml:space="preserve">45-60</w:t>
            </w:r>
          </w:p>
        </w:tc>
        <w:tc>
          <w:tcPr/>
          <w:p>
            <w:pPr>
              <w:pStyle w:val="Compact"/>
              <w:jc w:val="left"/>
            </w:pPr>
            <w:r>
              <w:t xml:space="preserve">30-45</w:t>
            </w:r>
          </w:p>
        </w:tc>
      </w:tr>
      <w:tr>
        <w:tc>
          <w:tcPr/>
          <w:p>
            <w:pPr>
              <w:pStyle w:val="Compact"/>
              <w:jc w:val="left"/>
            </w:pPr>
            <w:r>
              <w:t xml:space="preserve">Customer Retention Rate (%)</w:t>
            </w:r>
          </w:p>
        </w:tc>
        <w:tc>
          <w:tcPr/>
          <w:p>
            <w:pPr>
              <w:pStyle w:val="Compact"/>
              <w:jc w:val="left"/>
            </w:pPr>
            <w:r>
              <w:t xml:space="preserve">82%</w:t>
            </w:r>
          </w:p>
        </w:tc>
        <w:tc>
          <w:tcPr/>
          <w:p>
            <w:pPr>
              <w:pStyle w:val="Compact"/>
              <w:jc w:val="left"/>
            </w:pPr>
            <w:r>
              <w:t xml:space="preserve">75%</w:t>
            </w:r>
          </w:p>
        </w:tc>
      </w:tr>
      <w:tr>
        <w:tc>
          <w:tcPr/>
          <w:p>
            <w:pPr>
              <w:pStyle w:val="Compact"/>
              <w:jc w:val="left"/>
            </w:pPr>
            <w:r>
              <w:t xml:space="preserve">Digital Engagement Touchpoints</w:t>
            </w:r>
          </w:p>
        </w:tc>
        <w:tc>
          <w:tcPr/>
          <w:p>
            <w:pPr>
              <w:pStyle w:val="Compact"/>
              <w:jc w:val="left"/>
            </w:pPr>
            <w:r>
              <w:t xml:space="preserve">12 per week</w:t>
            </w:r>
          </w:p>
        </w:tc>
        <w:tc>
          <w:tcPr/>
          <w:p>
            <w:pPr>
              <w:pStyle w:val="Compact"/>
              <w:jc w:val="left"/>
            </w:pPr>
            <w:r>
              <w:t xml:space="preserve">5 per week</w:t>
            </w:r>
          </w:p>
        </w:tc>
      </w:tr>
    </w:tbl>
    <w:bookmarkEnd w:id="28"/>
    <w:bookmarkStart w:id="29" w:name="viii.-conclusion-and-recommendations"/>
    <w:p>
      <w:pPr>
        <w:pStyle w:val="Heading2"/>
      </w:pPr>
      <w:r>
        <w:t xml:space="preserve">VIII. Conclusion and Recommendations</w:t>
      </w:r>
    </w:p>
    <w:p>
      <w:pPr>
        <w:pStyle w:val="FirstParagraph"/>
      </w:pPr>
      <w:r>
        <w:t xml:space="preserve">The role of the Sales Executive in Venezuela, Caracas, is evolving rapidly from a transactional function to a strategic advisory role. Success in this market demands resilience, adaptability, and technological fluency.</w:t>
      </w:r>
    </w:p>
    <w:p>
      <w:pPr>
        <w:numPr>
          <w:ilvl w:val="0"/>
          <w:numId w:val="1003"/>
        </w:numPr>
        <w:pStyle w:val="Compact"/>
      </w:pPr>
      <w:r>
        <w:rPr>
          <w:bCs/>
          <w:b/>
        </w:rPr>
        <w:t xml:space="preserve">Cross-Functional Training:</w:t>
      </w:r>
      <w:r>
        <w:t xml:space="preserve"> </w:t>
      </w:r>
      <w:r>
        <w:t xml:space="preserve">Companies must train Sales Executives not only on sales techniques but also on basic economic forecasting and digital payment logistics.</w:t>
      </w:r>
    </w:p>
    <w:p>
      <w:pPr>
        <w:numPr>
          <w:ilvl w:val="0"/>
          <w:numId w:val="1003"/>
        </w:numPr>
        <w:pStyle w:val="Compact"/>
      </w:pPr>
      <w:r>
        <w:rPr>
          <w:bCs/>
          <w:b/>
        </w:rPr>
        <w:t xml:space="preserve">Localized CRM Adoption:</w:t>
      </w:r>
      <w:r>
        <w:t xml:space="preserve"> </w:t>
      </w:r>
      <w:r>
        <w:t xml:space="preserve">Implementing CRMs that support multi-currency tracking and offline functionality is non-negotiable for scalability.</w:t>
      </w:r>
    </w:p>
    <w:p>
      <w:pPr>
        <w:numPr>
          <w:ilvl w:val="0"/>
          <w:numId w:val="1003"/>
        </w:numPr>
        <w:pStyle w:val="Compact"/>
      </w:pPr>
      <w:r>
        <w:rPr>
          <w:bCs/>
          <w:b/>
        </w:rPr>
        <w:t xml:space="preserve">Ethical Considerations:</w:t>
      </w:r>
      <w:r>
        <w:t xml:space="preserve"> </w:t>
      </w:r>
      <w:r>
        <w:t xml:space="preserve">With currency fluctuations, ethical pricing practices must be strictly enforced to maintain brand integrity in the long term.</w:t>
      </w:r>
    </w:p>
    <w:p>
      <w:pPr>
        <w:pStyle w:val="FirstParagraph"/>
      </w:pPr>
      <w:r>
        <w:t xml:space="preserve">In conclusion, while operating as a Sales Executive in Venezuela presents formidable challenges, it also offers untapped potential for those who can navigate the complexities with agility and empathy. By adopting the strategies outlined herein, businesses can establish robust footholds in Caracas's dynamic market.</w:t>
      </w:r>
    </w:p>
    <w:p>
      <w:pPr>
        <w:pStyle w:val="BodyText"/>
      </w:pPr>
      <w:r>
        <w:rPr>
          <w:bCs/>
          <w:b/>
        </w:rPr>
        <w:t xml:space="preserve">References:</w:t>
      </w:r>
    </w:p>
    <w:p>
      <w:pPr>
        <w:numPr>
          <w:ilvl w:val="0"/>
          <w:numId w:val="1004"/>
        </w:numPr>
        <w:pStyle w:val="Compact"/>
      </w:pPr>
      <w:r>
        <w:t xml:space="preserve">Banco Central de Venezuela. (2023). Annual Economic Report on Inflation Metrics.</w:t>
      </w:r>
    </w:p>
    <w:p>
      <w:pPr>
        <w:numPr>
          <w:ilvl w:val="0"/>
          <w:numId w:val="1004"/>
        </w:numPr>
        <w:pStyle w:val="Compact"/>
      </w:pPr>
      <w:r>
        <w:t xml:space="preserve">García, M., &amp; Perez, L. (2024). Digital Transformation in Emerging Markets: A Caracas Case Study. Journal of Latin American Business Review.</w:t>
      </w:r>
    </w:p>
    <w:p>
      <w:pPr>
        <w:pStyle w:val="FirstParagraph"/>
      </w:pPr>
      <w:r>
        <w:rPr>
          <w:bCs/>
          <w:b/>
        </w:rPr>
        <w:t xml:space="preserve">Acknowledgments:</w:t>
      </w:r>
    </w:p>
    <w:p>
      <w:pPr>
        <w:pStyle w:val="BodyText"/>
      </w:pPr>
      <w:r>
        <w:t xml:space="preserve">Data collection was facilitated through partnerships with local industry associations in Venezuela, Caracas. Special thanks to the field researchers who conducted primary interviews with regional Sales Executives.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Strategic Market Analysis for Venezuela, Caracas</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file>