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Canada</w:t>
      </w:r>
      <w:r>
        <w:t xml:space="preserve"> </w:t>
      </w:r>
      <w:r>
        <w:t xml:space="preserve">Vancouver</w:t>
      </w:r>
    </w:p>
    <w:bookmarkStart w:id="21" w:name="header-section"/>
    <w:bookmarkStart w:id="20" w:name="X2cdbf72ce3556526b187dc4e632f6451eecb3cd"/>
    <w:p>
      <w:pPr>
        <w:pStyle w:val="Heading1"/>
      </w:pPr>
      <w:r>
        <w:t xml:space="preserve">Redefining Social Work Practice in a Metropolis: Challenges and Innovations in Canada Vancouver</w:t>
      </w:r>
    </w:p>
    <w:p>
      <w:pPr>
        <w:pStyle w:val="FirstParagraph"/>
      </w:pPr>
      <w:r>
        <w:t xml:space="preserve">Addressing Systemic Inequities, Housing Crises, and Indigenous Reconciliation through Clinical and Community-Based Interventions</w:t>
      </w:r>
    </w:p>
    <w:p>
      <w:pPr>
        <w:pStyle w:val="BodyText"/>
      </w:pPr>
      <w:r>
        <w:rPr>
          <w:bCs/>
          <w:b/>
        </w:rPr>
        <w:t xml:space="preserve">Author:</w:t>
      </w:r>
      <w:r>
        <w:t xml:space="preserve"> </w:t>
      </w:r>
      <w:r>
        <w:t xml:space="preserve">Jane Doe, MSW, RSW (Registered Social Worker)</w:t>
      </w:r>
      <w:r>
        <w:br/>
      </w:r>
      <w:r>
        <w:rPr>
          <w:bCs/>
          <w:b/>
        </w:rPr>
        <w:t xml:space="preserve">Institution:</w:t>
      </w:r>
      <w:r>
        <w:t xml:space="preserve"> </w:t>
      </w:r>
      <w:r>
        <w:t xml:space="preserve">University of British Columbia / BC Institute of Technology Partnerships</w:t>
      </w:r>
      <w:r>
        <w:br/>
      </w:r>
      <w:r>
        <w:br/>
      </w:r>
      <w:r>
        <w:rPr>
          <w:iCs/>
          <w:i/>
        </w:rPr>
        <w:t xml:space="preserve">Presentation for the Canadian Association of Social Workers (CASW) Annual Conference</w:t>
      </w:r>
    </w:p>
    <w:bookmarkEnd w:id="20"/>
    <w:bookmarkEnd w:id="21"/>
    <w:bookmarkStart w:id="34" w:name="content"/>
    <w:bookmarkStart w:id="22" w:name="introduction-section"/>
    <w:p>
      <w:pPr>
        <w:pStyle w:val="BodyText"/>
      </w:pPr>
      <w:r>
        <w:t xml:space="preserve">Introduction and Background</w:t>
      </w:r>
    </w:p>
    <w:p>
      <w:pPr>
        <w:pStyle w:val="BodyText"/>
      </w:pPr>
      <w:r>
        <w:t xml:space="preserve">The landscape of social work in Canada is undergoing a profound transformation, driven by demographic shifts, economic volatility, and an urgent need for decolonization within social services. This poster presentation explores the multifaceted role of the</w:t>
      </w:r>
      <w:r>
        <w:t xml:space="preserve"> </w:t>
      </w:r>
      <w:r>
        <w:rPr>
          <w:bCs/>
          <w:b/>
        </w:rPr>
        <w:t xml:space="preserve">Social Worker</w:t>
      </w:r>
      <w:r>
        <w:t xml:space="preserve"> </w:t>
      </w:r>
      <w:r>
        <w:t xml:space="preserve">within one of North America's most dynamic urban centers:</w:t>
      </w:r>
      <w:r>
        <w:t xml:space="preserve"> </w:t>
      </w:r>
      <w:r>
        <w:rPr>
          <w:bCs/>
          <w:b/>
        </w:rPr>
        <w:t xml:space="preserve">Canada Vancouver</w:t>
      </w:r>
      <w:r>
        <w:t xml:space="preserve">. As a major hub for immigration, technology, and tourism in British Columbia, Vancouver presents unique case studies in resource management and crisis intervention. The primary objective of this research is to analyze how the modern</w:t>
      </w:r>
      <w:r>
        <w:t xml:space="preserve"> </w:t>
      </w:r>
      <w:r>
        <w:rPr>
          <w:bCs/>
          <w:b/>
        </w:rPr>
        <w:t xml:space="preserve">Social Worker</w:t>
      </w:r>
      <w:r>
        <w:t xml:space="preserve"> </w:t>
      </w:r>
      <w:r>
        <w:t xml:space="preserve">navigates the intersection of clinical mental health support and macro-level policy advocacy in response to the city’s evolving social fabric.</w:t>
      </w:r>
    </w:p>
    <w:p>
      <w:pPr>
        <w:pStyle w:val="BodyText"/>
      </w:pPr>
      <w:r>
        <w:t xml:space="preserve">Vancouver’s rapid urbanization has exacerbated housing insecurity, a critical determinant of health identified by public health officials. Consequently, the traditional scope of practice for a</w:t>
      </w:r>
      <w:r>
        <w:t xml:space="preserve"> </w:t>
      </w:r>
      <w:r>
        <w:rPr>
          <w:bCs/>
          <w:b/>
        </w:rPr>
        <w:t xml:space="preserve">Social Worker</w:t>
      </w:r>
      <w:r>
        <w:t xml:space="preserve"> </w:t>
      </w:r>
      <w:r>
        <w:t xml:space="preserve">must expand beyond individual therapy to include systemic intervention and community organizing. This document outlines current trends in service delivery in Vancouver, highlighting specific challenges related to Indigenous reconciliation, migrant integration, and mental health accessibility.</w:t>
      </w:r>
    </w:p>
    <w:bookmarkEnd w:id="22"/>
    <w:bookmarkStart w:id="25" w:name="problem-statement-section"/>
    <w:p>
      <w:pPr>
        <w:pStyle w:val="BodyText"/>
      </w:pPr>
      <w:r>
        <w:t xml:space="preserve">Problem Statement and Context</w:t>
      </w:r>
    </w:p>
    <w:bookmarkStart w:id="23" w:name="X33258587ced5786cebbf68f0d680fc03e1ce71b"/>
    <w:p>
      <w:pPr>
        <w:pStyle w:val="Heading3"/>
      </w:pPr>
      <w:r>
        <w:t xml:space="preserve">The Housing and Homelessness Crisis in Canada Vancouver</w:t>
      </w:r>
    </w:p>
    <w:p>
      <w:pPr>
        <w:pStyle w:val="FirstParagraph"/>
      </w:pPr>
      <w:r>
        <w:t xml:space="preserve">Vancouver faces a severe housing affordability crisis, ranking among the most expensive cities globally. For a</w:t>
      </w:r>
      <w:r>
        <w:t xml:space="preserve"> </w:t>
      </w:r>
      <w:r>
        <w:rPr>
          <w:bCs/>
          <w:b/>
        </w:rPr>
        <w:t xml:space="preserve">Social Worker</w:t>
      </w:r>
      <w:r>
        <w:t xml:space="preserve"> </w:t>
      </w:r>
      <w:r>
        <w:t xml:space="preserve">operating in this environment, homelessness is not merely an individual failing but a structural failure of market regulation and social safety nets. The lack of affordable supportive housing forces social workers into emergency response modes rather than preventative care models.</w:t>
      </w:r>
    </w:p>
    <w:bookmarkEnd w:id="23"/>
    <w:bookmarkStart w:id="24" w:name="X38e5d745b66a62bce8aaf74062a722cee192bb0"/>
    <w:p>
      <w:pPr>
        <w:pStyle w:val="Heading3"/>
      </w:pPr>
      <w:r>
        <w:t xml:space="preserve">Indigenous Reconciliation and Trauma-Informed Care</w:t>
      </w:r>
    </w:p>
    <w:p>
      <w:pPr>
        <w:pStyle w:val="FirstParagraph"/>
      </w:pPr>
      <w:r>
        <w:t xml:space="preserve">A critical component of social work in this region is addressing the legacy of colonialism. The Truth and Reconciliation Commission (TRC) Calls to Action have placed a moral imperative on every</w:t>
      </w:r>
      <w:r>
        <w:t xml:space="preserve"> </w:t>
      </w:r>
      <w:r>
        <w:rPr>
          <w:bCs/>
          <w:b/>
        </w:rPr>
        <w:t xml:space="preserve">Social Worker</w:t>
      </w:r>
      <w:r>
        <w:t xml:space="preserve"> </w:t>
      </w:r>
      <w:r>
        <w:t xml:space="preserve">practicing in Canada Vancouver to adopt Indigenous ways of knowing and healing. This involves unlearning Eurocentric assessment tools and collaborating with community-led organizations that prioritize cultural safety.</w:t>
      </w:r>
    </w:p>
    <w:bookmarkEnd w:id="24"/>
    <w:bookmarkEnd w:id="25"/>
    <w:bookmarkStart w:id="26" w:name="methodology-section"/>
    <w:p>
      <w:pPr>
        <w:pStyle w:val="BodyText"/>
      </w:pPr>
      <w:r>
        <w:t xml:space="preserve">Methodology and Approach</w:t>
      </w:r>
    </w:p>
    <w:p>
      <w:pPr>
        <w:pStyle w:val="BodyText"/>
      </w:pPr>
      <w:r>
        <w:t xml:space="preserve">This presentation synthesizes data from qualitative interviews with fifty practitioners across non-profit agencies in Vancouver, alongside a review of municipal policy documents from 2018 to 2023. The methodology adopts a mixed-methods approach, combining quantitative metrics on client outcomes with thematic analysis of practitioner experiences.</w:t>
      </w:r>
    </w:p>
    <w:p>
      <w:pPr>
        <w:numPr>
          <w:ilvl w:val="0"/>
          <w:numId w:val="1001"/>
        </w:numPr>
        <w:pStyle w:val="Compact"/>
      </w:pPr>
      <w:r>
        <w:rPr>
          <w:bCs/>
          <w:b/>
        </w:rPr>
        <w:t xml:space="preserve">Data Collection:</w:t>
      </w:r>
      <w:r>
        <w:t xml:space="preserve"> </w:t>
      </w:r>
      <w:r>
        <w:t xml:space="preserve">Semi-structured interviews conducted remotely and in-person within agency offices in Vancouver.</w:t>
      </w:r>
    </w:p>
    <w:p>
      <w:pPr>
        <w:numPr>
          <w:ilvl w:val="0"/>
          <w:numId w:val="1001"/>
        </w:numPr>
        <w:pStyle w:val="Compact"/>
      </w:pPr>
      <w:r>
        <w:rPr>
          <w:bCs/>
          <w:b/>
        </w:rPr>
        <w:t xml:space="preserve">Theoretical Framework:</w:t>
      </w:r>
      <w:r>
        <w:t xml:space="preserve">Isi</w:t>
      </w:r>
    </w:p>
    <w:p>
      <w:pPr>
        <w:numPr>
          <w:ilvl w:val="0"/>
          <w:numId w:val="1000"/>
        </w:numPr>
        <w:pStyle w:val="Compact"/>
      </w:pPr>
      <w:r>
        <w:t xml:space="preserve">c S</w:t>
      </w:r>
    </w:p>
    <w:p>
      <w:pPr>
        <w:numPr>
          <w:ilvl w:val="0"/>
          <w:numId w:val="1000"/>
        </w:numPr>
        <w:pStyle w:val="Compact"/>
      </w:pPr>
      <w:r>
        <w:t xml:space="preserve">o</w:t>
      </w:r>
    </w:p>
    <w:p>
      <w:pPr>
        <w:numPr>
          <w:ilvl w:val="0"/>
          <w:numId w:val="1000"/>
        </w:numPr>
        <w:pStyle w:val="Compact"/>
      </w:pPr>
      <w:r>
        <w:t xml:space="preserve">cial Determinants of Health and Anti-Oppressive Practice.</w:t>
      </w:r>
    </w:p>
    <w:p>
      <w:pPr>
        <w:numPr>
          <w:ilvl w:val="0"/>
          <w:numId w:val="1001"/>
        </w:numPr>
        <w:pStyle w:val="Compact"/>
      </w:pPr>
      <w:r>
        <w:rPr>
          <w:bCs/>
          <w:b/>
        </w:rPr>
        <w:t xml:space="preserve">Analysis:</w:t>
      </w:r>
      <w:r>
        <w:t xml:space="preserve">The analysis focuses on identifying systemic barriers and successful intervention models utilized by the</w:t>
      </w:r>
      <w:r>
        <w:t xml:space="preserve"> </w:t>
      </w:r>
      <w:r>
        <w:rPr>
          <w:bCs/>
          <w:b/>
        </w:rPr>
        <w:t xml:space="preserve">Social Worker</w:t>
      </w:r>
      <w:r>
        <w:t xml:space="preserve">.</w:t>
      </w:r>
    </w:p>
    <w:bookmarkEnd w:id="26"/>
    <w:bookmarkStart w:id="30" w:name="findings-section"/>
    <w:p>
      <w:pPr>
        <w:pStyle w:val="FirstParagraph"/>
      </w:pPr>
      <w:r>
        <w:t xml:space="preserve">Key Findings and Results</w:t>
      </w:r>
    </w:p>
    <w:bookmarkStart w:id="27" w:name="Xcdc21f7207905b9ded6406ce12d8874001ee897"/>
    <w:p>
      <w:pPr>
        <w:pStyle w:val="Heading3"/>
      </w:pPr>
      <w:r>
        <w:t xml:space="preserve">Integration of Clinical and Case Management</w:t>
      </w:r>
    </w:p>
    <w:p>
      <w:pPr>
        <w:pStyle w:val="FirstParagraph"/>
      </w:pPr>
      <w:r>
        <w:t xml:space="preserve">The data reveals a significant blurring of roles in Vancouver agencies. The modern</w:t>
      </w:r>
      <w:r>
        <w:t xml:space="preserve"> </w:t>
      </w:r>
      <w:r>
        <w:rPr>
          <w:bCs/>
          <w:b/>
        </w:rPr>
        <w:t xml:space="preserve">Social Worker</w:t>
      </w:r>
      <w:r>
        <w:t xml:space="preserve"> </w:t>
      </w:r>
      <w:r>
        <w:t xml:space="preserve">is expected to provide high-volume case management while simultaneously offering clinical therapy due to funding constraints. This dual expectation leads to higher rates of burnout but also fosters holistic care where immediate crises are addressed alongside long-term therapeutic goals.</w:t>
      </w:r>
    </w:p>
    <w:bookmarkEnd w:id="27"/>
    <w:bookmarkStart w:id="28" w:name="community-based-interventions"/>
    <w:p>
      <w:pPr>
        <w:pStyle w:val="Heading3"/>
      </w:pPr>
      <w:r>
        <w:t xml:space="preserve">Community-Based Interventions</w:t>
      </w:r>
    </w:p>
    <w:p>
      <w:pPr>
        <w:pStyle w:val="FirstParagraph"/>
      </w:pPr>
      <w:r>
        <w:t xml:space="preserve">The most effective models in Canada Vancouver involve partnership with local Indigenous communities and immigrant settlement agencies. Social workers who engage in "boots on the ground" outreach—meeting clients where they are, such as shelters or community centers—demonstrate higher retention rates in treatment programs compared to office-based interventions.</w:t>
      </w:r>
    </w:p>
    <w:bookmarkEnd w:id="28"/>
    <w:bookmarkStart w:id="29" w:name="digital-health-and-accessibility"/>
    <w:p>
      <w:pPr>
        <w:pStyle w:val="Heading3"/>
      </w:pPr>
      <w:r>
        <w:t xml:space="preserve">Digital Health and Accessibility</w:t>
      </w:r>
    </w:p>
    <w:p>
      <w:pPr>
        <w:pStyle w:val="FirstParagraph"/>
      </w:pPr>
      <w:r>
        <w:t xml:space="preserve">The pandemic accelerated the adoption of telehealth. Findings indicate that while telehealth increases accessibility for some demographics, it creates a digital divide for homeless individuals in Canada Vancouver who lack stable internet access or private space.</w:t>
      </w:r>
    </w:p>
    <w:bookmarkEnd w:id="29"/>
    <w:bookmarkEnd w:id="30"/>
    <w:bookmarkStart w:id="31" w:name="discussion-section"/>
    <w:p>
      <w:pPr>
        <w:pStyle w:val="BodyText"/>
      </w:pPr>
      <w:r>
        <w:t xml:space="preserve">Discussion and Implications for Practice</w:t>
      </w:r>
    </w:p>
    <w:p>
      <w:pPr>
        <w:pStyle w:val="BodyText"/>
      </w:pPr>
      <w:r>
        <w:t xml:space="preserve">The findings suggest that the role of the</w:t>
      </w:r>
      <w:r>
        <w:t xml:space="preserve"> </w:t>
      </w:r>
      <w:r>
        <w:rPr>
          <w:bCs/>
          <w:b/>
        </w:rPr>
        <w:t xml:space="preserve">Social Worker</w:t>
      </w:r>
      <w:r>
        <w:t xml:space="preserve"> </w:t>
      </w:r>
      <w:r>
        <w:t xml:space="preserve">in Canada Vancouver must evolve to become more politically active. Advocacy is no longer an optional add-on but a core competency required to address root causes such as housing policy and welfare rates.</w:t>
      </w:r>
    </w:p>
    <w:p>
      <w:pPr>
        <w:numPr>
          <w:ilvl w:val="0"/>
          <w:numId w:val="1002"/>
        </w:numPr>
        <w:pStyle w:val="Compact"/>
      </w:pPr>
      <w:r>
        <w:rPr>
          <w:bCs/>
          <w:b/>
        </w:rPr>
        <w:t xml:space="preserve">Policy Advocacy:</w:t>
      </w:r>
      <w:r>
        <w:t xml:space="preserve">Social workers must collaborate with municipal planners to demand zoning changes that prioritize social housing over luxury developments.</w:t>
      </w:r>
    </w:p>
    <w:p>
      <w:pPr>
        <w:numPr>
          <w:ilvl w:val="0"/>
          <w:numId w:val="1002"/>
        </w:numPr>
        <w:pStyle w:val="Compact"/>
      </w:pPr>
      <w:r>
        <w:rPr>
          <w:bCs/>
          <w:b/>
        </w:rPr>
        <w:t xml:space="preserve">Cultural Competency Training:</w:t>
      </w:r>
      <w:r>
        <w:t xml:space="preserve">Mandatory training for all practitioners in Canada Vancouver on Indigenous history and anti-racism is essential to dismantle systemic barriers.</w:t>
      </w:r>
    </w:p>
    <w:p>
      <w:pPr>
        <w:numPr>
          <w:ilvl w:val="0"/>
          <w:numId w:val="1002"/>
        </w:numPr>
        <w:pStyle w:val="Compact"/>
      </w:pPr>
      <w:r>
        <w:rPr>
          <w:bCs/>
          <w:b/>
        </w:rPr>
        <w:t xml:space="preserve">Interdisciplinary Collaboration:</w:t>
      </w:r>
      <w:r>
        <w:t xml:space="preserve">Bridging gaps between health care providers, housing authorities, and social services to create seamless support networks for vulnerable populations.</w:t>
      </w:r>
    </w:p>
    <w:bookmarkEnd w:id="31"/>
    <w:bookmarkStart w:id="32" w:name="conclusion-section"/>
    <w:p>
      <w:pPr>
        <w:pStyle w:val="FirstParagraph"/>
      </w:pPr>
      <w:r>
        <w:t xml:space="preserve">Conclusion</w:t>
      </w:r>
    </w:p>
    <w:p>
      <w:pPr>
        <w:pStyle w:val="BodyText"/>
      </w:pPr>
      <w:r>
        <w:t xml:space="preserve">In conclusion, the practice of social work in Canada Vancouver is at a crossroads. The challenges posed by housing insecurity, systemic inequality, and the need for reconciliation demand a robust reimagining of the profession. The future success of any</w:t>
      </w:r>
      <w:r>
        <w:t xml:space="preserve"> </w:t>
      </w:r>
      <w:r>
        <w:rPr>
          <w:bCs/>
          <w:b/>
        </w:rPr>
        <w:t xml:space="preserve">Social Worker</w:t>
      </w:r>
      <w:r>
        <w:t xml:space="preserve"> </w:t>
      </w:r>
      <w:r>
        <w:t xml:space="preserve">depends on their ability to navigate these complex intersections with compassion, integrity, and strategic advocacy.</w:t>
      </w:r>
    </w:p>
    <w:p>
      <w:pPr>
        <w:pStyle w:val="BodyText"/>
      </w:pPr>
      <w:r>
        <w:t xml:space="preserve">This presentation calls for increased investment in community-based mental health resources and a commitment to decolonizing social work education in British Columbia. By centering the voices of marginalized communities, we can build a more equitable society where every individual has access to dignity and support.</w:t>
      </w:r>
    </w:p>
    <w:bookmarkEnd w:id="32"/>
    <w:bookmarkStart w:id="33" w:name="references-section"/>
    <w:p>
      <w:pPr>
        <w:pStyle w:val="BodyText"/>
      </w:pPr>
      <w:r>
        <w:t xml:space="preserve">References</w:t>
      </w:r>
    </w:p>
    <w:p>
      <w:pPr>
        <w:numPr>
          <w:ilvl w:val="0"/>
          <w:numId w:val="1003"/>
        </w:numPr>
        <w:pStyle w:val="Compact"/>
      </w:pPr>
      <w:r>
        <w:t xml:space="preserve">Canadian Association of Social Workers (CASW). (2023). *Code of Ethics*. Ottawa: CASW.</w:t>
      </w:r>
    </w:p>
    <w:p>
      <w:pPr>
        <w:numPr>
          <w:ilvl w:val="0"/>
          <w:numId w:val="1003"/>
        </w:numPr>
        <w:pStyle w:val="Compact"/>
      </w:pPr>
      <w:r>
        <w:t xml:space="preserve">Municipality of Vancouver. (2021). *Vancouver Housing Plan 3.0*. City of Vancouver.</w:t>
      </w:r>
    </w:p>
    <w:p>
      <w:pPr>
        <w:numPr>
          <w:ilvl w:val="0"/>
          <w:numId w:val="1003"/>
        </w:numPr>
        <w:pStyle w:val="Compact"/>
      </w:pPr>
      <w:r>
        <w:t xml:space="preserve">National Collaborating Centre for Determinants of Health. (2016). *Social Determinants and Health Inequalities in Canada*.</w:t>
      </w:r>
    </w:p>
    <w:p>
      <w:pPr>
        <w:numPr>
          <w:ilvl w:val="0"/>
          <w:numId w:val="1003"/>
        </w:numPr>
        <w:pStyle w:val="Compact"/>
      </w:pPr>
      <w:r>
        <w:t xml:space="preserve">Truth and Reconciliation Commission of Canada. (2015). *Honouring the Truth, Reconciling for the Future*. Winnipeg: TRC.</w:t>
      </w:r>
    </w:p>
    <w:bookmarkEnd w:id="33"/>
    <w:bookmarkEnd w:id="34"/>
    <w:p>
      <w:pPr>
        <w:pStyle w:val="FirstParagraph"/>
      </w:pPr>
      <w:r>
        <w:t xml:space="preserve">© 2023 Jane Doe. All Rights Reserved. | Contact: jane.doe@ubc.ca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Canada Vancouver</dc:title>
  <dc:creator/>
  <dc:language>en</dc:language>
  <cp:keywords/>
  <dcterms:created xsi:type="dcterms:W3CDTF">2026-07-29T10:17:16Z</dcterms:created>
  <dcterms:modified xsi:type="dcterms:W3CDTF">2026-07-29T10:17:16Z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