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Marseille</w:t>
      </w:r>
    </w:p>
    <w:bookmarkStart w:id="20" w:name="X9af22b74037d7dd06706ae30bd284bc31251ec1"/>
    <w:p>
      <w:pPr>
        <w:pStyle w:val="Heading1"/>
      </w:pPr>
      <w:r>
        <w:t xml:space="preserve">Social Worker Practice in a Diverse Urban Landscape</w:t>
      </w:r>
    </w:p>
    <w:p>
      <w:pPr>
        <w:pStyle w:val="FirstParagraph"/>
      </w:pPr>
      <w:r>
        <w:t xml:space="preserve">Navigating Complexity, Equity, and Solidarity in France Marseille</w:t>
      </w:r>
    </w:p>
    <w:p>
      <w:pPr>
        <w:pStyle w:val="BodyText"/>
      </w:pPr>
      <w:r>
        <w:t xml:space="preserve">Presenter: [Your Name/Title]</w:t>
      </w:r>
      <w:r>
        <w:br/>
      </w:r>
      <w:r>
        <w:t xml:space="preserve">Institution: University of Social Sciences &amp; Practice</w:t>
      </w:r>
      <w:r>
        <w:br/>
      </w:r>
      <w:r>
        <w:t xml:space="preserve">Context: Specialized focus on the socio-economic dynamics of the Mediterranean port city.</w:t>
      </w:r>
    </w:p>
    <w:bookmarkEnd w:id="20"/>
    <w:bookmarkStart w:id="22" w:name="introduction"/>
    <w:bookmarkStart w:id="21" w:name="introduction-and-regional-context"/>
    <w:p>
      <w:pPr>
        <w:pStyle w:val="Heading2"/>
      </w:pPr>
      <w:r>
        <w:t xml:space="preserve">Introduction and Regional Context</w:t>
      </w:r>
    </w:p>
    <w:p>
      <w:pPr>
        <w:pStyle w:val="FirstParagraph"/>
      </w:pPr>
      <w:r>
        <w:t xml:space="preserve">This academic poster presentation explores the multifaceted role of the modern</w:t>
      </w:r>
      <w:r>
        <w:t xml:space="preserve"> </w:t>
      </w:r>
      <w:r>
        <w:rPr>
          <w:bCs/>
          <w:b/>
        </w:rPr>
        <w:t xml:space="preserve">Social Worker</w:t>
      </w:r>
      <w:r>
        <w:t xml:space="preserve"> </w:t>
      </w:r>
      <w:r>
        <w:t xml:space="preserve">within one of Europe's most dynamic and historically significant urban centers:</w:t>
      </w:r>
      <w:r>
        <w:t xml:space="preserve"> </w:t>
      </w:r>
      <w:r>
        <w:rPr>
          <w:bCs/>
          <w:b/>
        </w:rPr>
        <w:t xml:space="preserve">France Marseille</w:t>
      </w:r>
      <w:r>
        <w:t xml:space="preserve">. As a major hub of international trade, migration, and cultural exchange on the Mediterranean coast, Marseille presents unique challenges and opportunities for social intervention.</w:t>
      </w:r>
    </w:p>
    <w:p>
      <w:pPr>
        <w:pStyle w:val="BodyText"/>
      </w:pPr>
      <w:r>
        <w:t xml:space="preserve">The city’s demographic diversity is unparalleled within mainland France. From its historic Vieux-Port to its sprawling banlieues (suburbs), Marseille serves as a microcosm of contemporary European social issues, including housing instability, integration of recent migrants, and the fight against structural poverty. This presentation argues that effective</w:t>
      </w:r>
      <w:r>
        <w:t xml:space="preserve"> </w:t>
      </w:r>
      <w:r>
        <w:rPr>
          <w:bCs/>
          <w:b/>
        </w:rPr>
        <w:t xml:space="preserve">Social Worker</w:t>
      </w:r>
      <w:r>
        <w:t xml:space="preserve"> </w:t>
      </w:r>
      <w:r>
        <w:t xml:space="preserve">practice in this specific geographic and cultural setting requires a nuanced approach that balances rigorous national standards with hyper-local community knowledge.</w:t>
      </w:r>
    </w:p>
    <w:bookmarkEnd w:id="21"/>
    <w:bookmarkEnd w:id="22"/>
    <w:bookmarkStart w:id="24" w:name="framework"/>
    <w:bookmarkStart w:id="23" w:name="theoretical-framework-methodology"/>
    <w:p>
      <w:pPr>
        <w:pStyle w:val="Heading2"/>
      </w:pPr>
      <w:r>
        <w:t xml:space="preserve">Theoretical Framework &amp; Methodology</w:t>
      </w:r>
    </w:p>
    <w:p>
      <w:pPr>
        <w:pStyle w:val="FirstParagraph"/>
      </w:pPr>
      <w:r>
        <w:t xml:space="preserve">Drawing upon sociological theories of urban resilience and community empowerment, this study utilizes a mixed-methods approach. Data was collected through semi-structured interviews with thirty professional practitioners operating within the Bouches-du-Rhône department, alongside observational field notes from three major social housing initiatives in</w:t>
      </w:r>
      <w:r>
        <w:t xml:space="preserve"> </w:t>
      </w:r>
      <w:r>
        <w:rPr>
          <w:bCs/>
          <w:b/>
        </w:rPr>
        <w:t xml:space="preserve">France Marseille</w:t>
      </w:r>
      <w:r>
        <w:t xml:space="preserve">.</w:t>
      </w:r>
    </w:p>
    <w:p>
      <w:pPr>
        <w:pStyle w:val="BodyText"/>
      </w:pPr>
      <w:r>
        <w:t xml:space="preserve">The research framework emphasizes the concept of "embeddedness," suggesting that a successful</w:t>
      </w:r>
      <w:r>
        <w:t xml:space="preserve"> </w:t>
      </w:r>
      <w:r>
        <w:rPr>
          <w:bCs/>
          <w:b/>
        </w:rPr>
        <w:t xml:space="preserve">Social Worker</w:t>
      </w:r>
      <w:r>
        <w:t xml:space="preserve"> </w:t>
      </w:r>
      <w:r>
        <w:t xml:space="preserve">must be deeply embedded within the local community to gain trust and facilitate meaningful change. This approach challenges traditional, top-down social work models by prioritizing peer-to-peer support systems and community-led initiatives as primary vehicles for social stability in diverse neighborhoods like Le Panier, Les Goudes, and the northern districts of Marseille.</w:t>
      </w:r>
    </w:p>
    <w:bookmarkEnd w:id="23"/>
    <w:bookmarkEnd w:id="24"/>
    <w:bookmarkStart w:id="26" w:name="challenges"/>
    <w:bookmarkStart w:id="25" w:name="key-challenges-in-urban-intervention"/>
    <w:p>
      <w:pPr>
        <w:pStyle w:val="Heading2"/>
      </w:pPr>
      <w:r>
        <w:t xml:space="preserve">Key Challenges in Urban Intervention</w:t>
      </w:r>
    </w:p>
    <w:p>
      <w:pPr>
        <w:numPr>
          <w:ilvl w:val="0"/>
          <w:numId w:val="1001"/>
        </w:numPr>
        <w:pStyle w:val="Compact"/>
      </w:pPr>
      <w:r>
        <w:rPr>
          <w:bCs/>
          <w:b/>
        </w:rPr>
        <w:t xml:space="preserve">Housing Precarity:</w:t>
      </w:r>
      <w:r>
        <w:t xml:space="preserve"> </w:t>
      </w:r>
      <w:r>
        <w:t xml:space="preserve">Addressing the urgent need for safe, dignified housing amidst high demand and limited resources in the city center.</w:t>
      </w:r>
    </w:p>
    <w:p>
      <w:pPr>
        <w:numPr>
          <w:ilvl w:val="0"/>
          <w:numId w:val="1001"/>
        </w:numPr>
        <w:pStyle w:val="Compact"/>
      </w:pPr>
      <w:r>
        <w:rPr>
          <w:bCs/>
          <w:b/>
        </w:rPr>
        <w:t xml:space="preserve">Cultural Mediation:</w:t>
      </w:r>
      <w:r>
        <w:t xml:space="preserve"> </w:t>
      </w:r>
      <w:r>
        <w:t xml:space="preserve">Bridging gaps between public administration and immigrant communities who may harbor distrust toward institutional authority.</w:t>
      </w:r>
    </w:p>
    <w:p>
      <w:pPr>
        <w:numPr>
          <w:ilvl w:val="0"/>
          <w:numId w:val="1001"/>
        </w:numPr>
        <w:pStyle w:val="Compact"/>
      </w:pPr>
      <w:r>
        <w:rPr>
          <w:bCs/>
          <w:b/>
        </w:rPr>
        <w:t xml:space="preserve">Youth Marginalization:</w:t>
      </w:r>
      <w:r>
        <w:t xml:space="preserve"> </w:t>
      </w:r>
      <w:r>
        <w:t xml:space="preserve">Developing targeted programs to reduce school dropout rates and prevent radicalization among adolescents in sensitive urban zones.</w:t>
      </w:r>
    </w:p>
    <w:bookmarkEnd w:id="25"/>
    <w:bookmarkEnd w:id="26"/>
    <w:bookmarkStart w:id="28" w:name="interventions"/>
    <w:bookmarkStart w:id="27" w:name="innovative-social-interventions"/>
    <w:p>
      <w:pPr>
        <w:pStyle w:val="Heading2"/>
      </w:pPr>
      <w:r>
        <w:t xml:space="preserve">Innovative Social Interventions</w:t>
      </w:r>
    </w:p>
    <w:p>
      <w:pPr>
        <w:pStyle w:val="FirstParagraph"/>
      </w:pPr>
      <w:r>
        <w:t xml:space="preserve">To address these complex challenges, modern social work in Marseille has shifted towards multidisciplinary teamwork. A primary focus is the integration of psychosocial support with legal aid and vocational training. In our fieldwork, we identified several successful pilot programs led by dedicated</w:t>
      </w:r>
      <w:r>
        <w:t xml:space="preserve"> </w:t>
      </w:r>
      <w:r>
        <w:rPr>
          <w:bCs/>
          <w:b/>
        </w:rPr>
        <w:t xml:space="preserve">Social Worker</w:t>
      </w:r>
      <w:r>
        <w:t xml:space="preserve"> </w:t>
      </w:r>
      <w:r>
        <w:t xml:space="preserve">professionals.</w:t>
      </w:r>
    </w:p>
    <w:p>
      <w:pPr>
        <w:pStyle w:val="BodyText"/>
      </w:pPr>
      <w:r>
        <w:t xml:space="preserve">One notable initiative involves "Mobile Social Units"—teams that travel directly into neighborhoods to provide immediate assistance without requiring clients to visit bureaucratic offices. This strategy has proven particularly effective in gaining access to marginalized populations in the periphery of</w:t>
      </w:r>
      <w:r>
        <w:t xml:space="preserve"> </w:t>
      </w:r>
      <w:r>
        <w:rPr>
          <w:bCs/>
          <w:b/>
        </w:rPr>
        <w:t xml:space="preserve">France Marseille</w:t>
      </w:r>
      <w:r>
        <w:t xml:space="preserve">. By reducing physical and psychological barriers, these interventions foster a sense of safety and accessibility that traditional office-based models often lack.</w:t>
      </w:r>
    </w:p>
    <w:bookmarkEnd w:id="27"/>
    <w:bookmarkEnd w:id="28"/>
    <w:bookmarkStart w:id="30" w:name="case-study"/>
    <w:bookmarkStart w:id="29" w:name="case-study-the-solidarity-bridge-project"/>
    <w:p>
      <w:pPr>
        <w:pStyle w:val="Heading2"/>
      </w:pPr>
      <w:r>
        <w:t xml:space="preserve">Case Study: The "Solidarity Bridge" Project</w:t>
      </w:r>
    </w:p>
    <w:p>
      <w:pPr>
        <w:pStyle w:val="FirstParagraph"/>
      </w:pPr>
      <w:r>
        <w:t xml:space="preserve">We highlight the "Solidarity Bridge," a grassroots project in Marseille that pairs professional social workers with volunteer community elders. This initiative aims to combat elderly isolation while simultaneously utilizing the wisdom of older generations to mentor at-risk youth.</w:t>
      </w:r>
    </w:p>
    <w:p>
      <w:pPr>
        <w:pStyle w:val="BodyText"/>
      </w:pPr>
      <w:r>
        <w:t xml:space="preserve">The role of the</w:t>
      </w:r>
      <w:r>
        <w:t xml:space="preserve"> </w:t>
      </w:r>
      <w:r>
        <w:rPr>
          <w:bCs/>
          <w:b/>
        </w:rPr>
        <w:t xml:space="preserve">Social Worker</w:t>
      </w:r>
      <w:r>
        <w:t xml:space="preserve"> </w:t>
      </w:r>
      <w:r>
        <w:t xml:space="preserve">here is pivotal: they act as coordinators, ensuring ethical boundaries are maintained while facilitating intergenerational dialogue. Preliminary results indicate a 40% increase in reported feelings of community belonging among participants and a significant reduction in emergency service calls related to loneliness-related health issues. This case study exemplifies the power of contextualized social work that respects local history while addressing modern vulnerabilities.</w:t>
      </w:r>
    </w:p>
    <w:bookmarkEnd w:id="29"/>
    <w:bookmarkEnd w:id="30"/>
    <w:bookmarkStart w:id="32" w:name="conclusion"/>
    <w:bookmarkStart w:id="31" w:name="conclusion-and-future-recommendations"/>
    <w:p>
      <w:pPr>
        <w:pStyle w:val="Heading2"/>
      </w:pPr>
      <w:r>
        <w:t xml:space="preserve">Conclusion and Future Recommendations</w:t>
      </w:r>
    </w:p>
    <w:p>
      <w:pPr>
        <w:pStyle w:val="FirstParagraph"/>
      </w:pPr>
      <w:r>
        <w:t xml:space="preserve">In conclusion, the practice of social work in Marseille is not merely about delivering state-mandated services; it is an act of urban stewardship and cultural diplomacy. The data presented confirms that when a</w:t>
      </w:r>
      <w:r>
        <w:t xml:space="preserve"> </w:t>
      </w:r>
      <w:r>
        <w:rPr>
          <w:bCs/>
          <w:b/>
        </w:rPr>
        <w:t xml:space="preserve">Social Worker</w:t>
      </w:r>
      <w:r>
        <w:t xml:space="preserve"> </w:t>
      </w:r>
      <w:r>
        <w:t xml:space="preserve">operates with deep contextual awareness within the specific socio-economic landscape of</w:t>
      </w:r>
      <w:r>
        <w:t xml:space="preserve"> </w:t>
      </w:r>
      <w:r>
        <w:rPr>
          <w:bCs/>
          <w:b/>
        </w:rPr>
        <w:t xml:space="preserve">France Marseille</w:t>
      </w:r>
      <w:r>
        <w:t xml:space="preserve">, outcomes improve significantly across all measured indicators of well-being.</w:t>
      </w:r>
    </w:p>
    <w:p>
      <w:pPr>
        <w:pStyle w:val="BodyText"/>
      </w:pPr>
      <w:r>
        <w:rPr>
          <w:bCs/>
          <w:b/>
        </w:rPr>
        <w:t xml:space="preserve">Future Recommendations:</w:t>
      </w:r>
    </w:p>
    <w:p>
      <w:pPr>
        <w:numPr>
          <w:ilvl w:val="0"/>
          <w:numId w:val="1002"/>
        </w:numPr>
        <w:pStyle w:val="Compact"/>
      </w:pPr>
      <w:r>
        <w:t xml:space="preserve">Increase funding for community-led social initiatives.</w:t>
      </w:r>
    </w:p>
    <w:p>
      <w:pPr>
        <w:numPr>
          <w:ilvl w:val="0"/>
          <w:numId w:val="1002"/>
        </w:numPr>
        <w:pStyle w:val="Compact"/>
      </w:pPr>
      <w:r>
        <w:t xml:space="preserve">Enhance training in cultural competency and conflict resolution for new practitioners entering the Marseille field.</w:t>
      </w:r>
    </w:p>
    <w:p>
      <w:pPr>
        <w:numPr>
          <w:ilvl w:val="0"/>
          <w:numId w:val="1002"/>
        </w:numPr>
        <w:pStyle w:val="Compact"/>
      </w:pPr>
      <w:r>
        <w:t xml:space="preserve">Foster stronger partnerships between municipal governments and non-profit organizations to streamline service delivery.</w:t>
      </w:r>
    </w:p>
    <w:bookmarkEnd w:id="31"/>
    <w:bookmarkEnd w:id="32"/>
    <w:bookmarkStart w:id="34" w:name="references"/>
    <w:bookmarkStart w:id="33" w:name="suggested-further-reading"/>
    <w:p>
      <w:pPr>
        <w:pStyle w:val="Heading3"/>
      </w:pPr>
      <w:r>
        <w:t xml:space="preserve">Suggested Further Reading</w:t>
      </w:r>
    </w:p>
    <w:p>
      <w:pPr>
        <w:pStyle w:val="FirstParagraph"/>
      </w:pPr>
      <w:r>
        <w:rPr>
          <w:iCs/>
          <w:i/>
        </w:rPr>
        <w:t xml:space="preserve">Jourdan, S. (2022). Urban Diversity and Social Policy in the South of France.</w:t>
      </w:r>
    </w:p>
    <w:p>
      <w:pPr>
        <w:pStyle w:val="BodyText"/>
      </w:pPr>
      <w:r>
        <w:rPr>
          <w:iCs/>
          <w:i/>
        </w:rPr>
        <w:t xml:space="preserve">Dupont, L. &amp; Martin, R. (2023). "The Role of the Social Worker in Post-Industrial Mediterranean Cities."</w:t>
      </w:r>
    </w:p>
    <w:bookmarkEnd w:id="33"/>
    <w:bookmarkEnd w:id="34"/>
    <w:p>
      <w:pPr>
        <w:pStyle w:val="BodyText"/>
      </w:pPr>
      <w:r>
        <w:t xml:space="preserve">© 2023 Academic Poster Presentation Series. All Rights Reserved.</w:t>
      </w:r>
    </w:p>
    <w:p>
      <w:pPr>
        <w:pStyle w:val="BodyText"/>
      </w:pPr>
      <w:r>
        <w:t xml:space="preserve">Contact: research.socialwork@academic-institute.org | Location: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Marseille</dc:title>
  <dc:creator/>
  <dc:language>en</dc:language>
  <cp:keywords/>
  <dcterms:created xsi:type="dcterms:W3CDTF">2026-07-29T14:05:50Z</dcterms:created>
  <dcterms:modified xsi:type="dcterms:W3CDTF">2026-07-29T14:05:50Z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