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Paris</w:t>
      </w:r>
    </w:p>
    <w:bookmarkStart w:id="20" w:name="X105aef810fd8b3e8fb7bff1935bc1abcc4fe07e"/>
    <w:p>
      <w:pPr>
        <w:pStyle w:val="Heading1"/>
      </w:pPr>
      <w:r>
        <w:t xml:space="preserve">The Evolving Role of the Social Worker in France, Paris</w:t>
      </w:r>
    </w:p>
    <w:p>
      <w:pPr>
        <w:pStyle w:val="FirstParagraph"/>
      </w:pPr>
      <w:r>
        <w:t xml:space="preserve">Poster Presentation Academic Document</w:t>
      </w:r>
      <w:r>
        <w:br/>
      </w:r>
      <w:r>
        <w:t xml:space="preserve">A Comprehensive Analysis of Practice, Policy, and Urban Dynamics</w:t>
      </w:r>
    </w:p>
    <w:p>
      <w:pPr>
        <w:pStyle w:val="BodyText"/>
      </w:pPr>
      <w:r>
        <w:rPr>
          <w:bCs/>
          <w:b/>
        </w:rPr>
        <w:t xml:space="preserve">Date:</w:t>
      </w:r>
      <w:r>
        <w:t xml:space="preserve"> </w:t>
      </w:r>
      <w:r>
        <w:t xml:space="preserve">October 2023    </w:t>
      </w:r>
      <w:r>
        <w:t xml:space="preserve"> </w:t>
      </w:r>
      <w:r>
        <w:rPr>
          <w:bCs/>
          <w:b/>
        </w:rPr>
        <w:t xml:space="preserve">Institutional Affiliation:</w:t>
      </w:r>
      <w:r>
        <w:t xml:space="preserve"> </w:t>
      </w:r>
      <w:r>
        <w:t xml:space="preserve">Institute for Social Research in Urban Environments</w:t>
      </w:r>
    </w:p>
    <w:p>
      <w:pPr>
        <w:pStyle w:val="BodyText"/>
      </w:pPr>
      <w:r>
        <w:rPr>
          <w:bCs/>
          <w:b/>
        </w:rPr>
        <w:t xml:space="preserve">Contact:</w:t>
      </w:r>
    </w:p>
    <w:bookmarkEnd w:id="20"/>
    <w:bookmarkStart w:id="21" w:name="abstract"/>
    <w:p>
      <w:pPr>
        <w:pStyle w:val="Heading3"/>
      </w:pPr>
      <w:r>
        <w:t xml:space="preserve">Abstract</w:t>
      </w:r>
    </w:p>
    <w:p>
      <w:pPr>
        <w:pStyle w:val="FirstParagraph"/>
      </w:pPr>
      <w:r>
        <w:t xml:space="preserve">This poster presentation explores the multifaceted role of the social worker within the complex socio-political and urban landscape of France, with a specific focus on Paris. As a global capital known for its rich cultural heritage and significant social disparities, Paris presents unique challenges for social work practitioners. This document outlines the historical context, current legislative frameworks, key practice areas such as housing rights and mental health support in immigrant communities, and the impact of urbanization on service delivery.</w:t>
      </w:r>
    </w:p>
    <w:bookmarkEnd w:id="21"/>
    <w:bookmarkStart w:id="22" w:name="X5fd06d99d5f7a9688d86f2f0ad61ad24d5e24a3"/>
    <w:p>
      <w:pPr>
        <w:pStyle w:val="Heading2"/>
      </w:pPr>
      <w:r>
        <w:t xml:space="preserve">1. Introduction: The Context of Parisian Social Work</w:t>
      </w:r>
    </w:p>
    <w:p>
      <w:pPr>
        <w:pStyle w:val="FirstParagraph"/>
      </w:pPr>
      <w:r>
        <w:t xml:space="preserve">The role of the social worker in France, particularly within Paris, is distinctively shaped by the country’s welfare state model and the specific demographic pressures of its capital city. Unlike many Anglo-Saxon countries where social work often operates with a heavier emphasis on individual casework and market-driven solutions, French social work is deeply embedded in public administration.</w:t>
      </w:r>
    </w:p>
    <w:p>
      <w:pPr>
        <w:pStyle w:val="BodyText"/>
      </w:pPr>
      <w:r>
        <w:t xml:space="preserve">In Paris, the density of population combined with high living costs creates a paradox: while it is a hub for innovation and culture, it also harbors significant pockets of poverty. Social workers in this environment serve as critical bridges between vulnerable populations and the extensive but sometimes bureaucratic French social security system. This presentation argues that effective social work in Paris requires not only clinical competence but also strong advocacy skills to navigate the complexities of local municipal policies.</w:t>
      </w:r>
    </w:p>
    <w:bookmarkEnd w:id="22"/>
    <w:bookmarkStart w:id="23" w:name="historical-and-legislative-framework"/>
    <w:p>
      <w:pPr>
        <w:pStyle w:val="Heading2"/>
      </w:pPr>
      <w:r>
        <w:t xml:space="preserve">2. Historical and Legislative Framework</w:t>
      </w:r>
    </w:p>
    <w:p>
      <w:pPr>
        <w:pStyle w:val="FirstParagraph"/>
      </w:pPr>
      <w:r>
        <w:t xml:space="preserve">To understand the modern practice of social work in France, one must consider its legislative roots. The French welfare state is built on principles established post-World War II, emphasizing solidarity and universal coverage.</w:t>
      </w:r>
    </w:p>
    <w:p>
      <w:pPr>
        <w:numPr>
          <w:ilvl w:val="0"/>
          <w:numId w:val="1001"/>
        </w:numPr>
        <w:pStyle w:val="Compact"/>
      </w:pPr>
      <w:r>
        <w:t xml:space="preserve">The</w:t>
      </w:r>
      <w:r>
        <w:t xml:space="preserve"> </w:t>
      </w:r>
      <w:r>
        <w:t xml:space="preserve">Code de l’Action Sociale et des Familles (CASF)</w:t>
      </w:r>
      <w:r>
        <w:t xml:space="preserve"> </w:t>
      </w:r>
      <w:r>
        <w:t xml:space="preserve">serves as the primary legal text governing social actions and family assistance.</w:t>
      </w:r>
    </w:p>
    <w:p>
      <w:pPr>
        <w:numPr>
          <w:ilvl w:val="0"/>
          <w:numId w:val="1001"/>
        </w:numPr>
        <w:pStyle w:val="Compact"/>
      </w:pPr>
      <w:r>
        <w:t xml:space="preserve">In recent years, reforms such as the</w:t>
      </w:r>
      <w:r>
        <w:t xml:space="preserve"> </w:t>
      </w:r>
      <w:r>
        <w:t xml:space="preserve">Généralisation de la Protection Universelle (GAPU)</w:t>
      </w:r>
      <w:r>
        <w:t xml:space="preserve"> </w:t>
      </w:r>
      <w:r>
        <w:t xml:space="preserve">have sought to streamline access to healthcare and social benefits, impacting how social workers conduct assessments in Parisian neighborhoods.</w:t>
      </w:r>
    </w:p>
    <w:p>
      <w:pPr>
        <w:numPr>
          <w:ilvl w:val="0"/>
          <w:numId w:val="1001"/>
        </w:numPr>
        <w:pStyle w:val="Compact"/>
      </w:pPr>
      <w:r>
        <w:t xml:space="preserve">The decentralization laws have transferred significant responsibilities from the national government to local departments (</w:t>
      </w:r>
      <w:r>
        <w:rPr>
          <w:iCs/>
          <w:i/>
        </w:rPr>
        <w:t xml:space="preserve">départements</w:t>
      </w:r>
      <w:r>
        <w:t xml:space="preserve">) and municipalities (</w:t>
      </w:r>
      <w:r>
        <w:rPr>
          <w:iCs/>
          <w:i/>
        </w:rPr>
        <w:t xml:space="preserve">mairies</w:t>
      </w:r>
      <w:r>
        <w:t xml:space="preserve">), giving Paris city planners and local social services greater autonomy but also increasing variability in service quality.</w:t>
      </w:r>
    </w:p>
    <w:bookmarkEnd w:id="23"/>
    <w:bookmarkStart w:id="26" w:name="key-practice-areas-in-paris"/>
    <w:p>
      <w:pPr>
        <w:pStyle w:val="Heading2"/>
      </w:pPr>
      <w:r>
        <w:t xml:space="preserve">3. Key Practice Areas in Paris</w:t>
      </w:r>
    </w:p>
    <w:bookmarkStart w:id="24" w:name="housing-rights-and-homelessness"/>
    <w:p>
      <w:pPr>
        <w:pStyle w:val="Heading3"/>
      </w:pPr>
      <w:r>
        <w:t xml:space="preserve">Housing Rights and Homelessness</w:t>
      </w:r>
    </w:p>
    <w:p>
      <w:pPr>
        <w:pStyle w:val="FirstParagraph"/>
      </w:pPr>
      <w:r>
        <w:t xml:space="preserve">Housing instability is a pressing issue in Paris. The</w:t>
      </w:r>
      <w:r>
        <w:t xml:space="preserve"> </w:t>
      </w:r>
      <w:r>
        <w:t xml:space="preserve">DALO Act (Droit Au Logement Opposable)</w:t>
      </w:r>
      <w:r>
        <w:t xml:space="preserve">, enacted in 2007, grants individuals the right to housing if they have been waiting too long for social housing. Social workers play a pivotal role here, helping clients navigate the legal appeals process and connecting them with emergency shelters.</w:t>
      </w:r>
    </w:p>
    <w:bookmarkEnd w:id="24"/>
    <w:bookmarkStart w:id="25" w:name="mental-health-and-community-integration"/>
    <w:p>
      <w:pPr>
        <w:pStyle w:val="Heading3"/>
      </w:pPr>
      <w:r>
        <w:t xml:space="preserve">Mental Health and Community Integration</w:t>
      </w:r>
    </w:p>
    <w:p>
      <w:pPr>
        <w:pStyle w:val="FirstParagraph"/>
      </w:pPr>
      <w:r>
        <w:t xml:space="preserve">Paris is home to diverse immigrant communities from former French colonies in North Africa and West Africa. Social workers must be culturally competent to address issues of acculturation, identity, and discrimination. In these contexts, social work often intersects with public health initiatives aimed at reducing stigma around mental health services.</w:t>
      </w:r>
    </w:p>
    <w:bookmarkEnd w:id="25"/>
    <w:bookmarkEnd w:id="26"/>
    <w:bookmarkStart w:id="27" w:name="challenges-facing-social-workers"/>
    <w:p>
      <w:pPr>
        <w:pStyle w:val="Heading2"/>
      </w:pPr>
      <w:r>
        <w:t xml:space="preserve">4. Challenges Facing Social Workers</w:t>
      </w:r>
    </w:p>
    <w:p>
      <w:pPr>
        <w:numPr>
          <w:ilvl w:val="0"/>
          <w:numId w:val="1002"/>
        </w:numPr>
        <w:pStyle w:val="Compact"/>
      </w:pPr>
      <w:r>
        <w:t xml:space="preserve">Bureaucratic Overload: The complexity of French administrative procedures can be overwhelming for both clients and practitioners, leading to burnout among social workers who spend excessive time on paperwork rather than direct client interaction.</w:t>
      </w:r>
    </w:p>
    <w:p>
      <w:pPr>
        <w:numPr>
          <w:ilvl w:val="0"/>
          <w:numId w:val="1002"/>
        </w:numPr>
        <w:pStyle w:val="Compact"/>
      </w:pPr>
      <w:r>
        <w:t xml:space="preserve">Funding Instability: While the state provides significant funding, local municipalities in Paris often face budget constraints that limit the availability of long-term support programs.</w:t>
      </w:r>
    </w:p>
    <w:p>
      <w:pPr>
        <w:numPr>
          <w:ilvl w:val="0"/>
          <w:numId w:val="1002"/>
        </w:numPr>
        <w:pStyle w:val="Compact"/>
      </w:pPr>
      <w:r>
        <w:t xml:space="preserve">Social Stigma: Working with marginalized groups in a city known for its prestige can lead to social isolation for both clients and workers, requiring robust community-building efforts.</w:t>
      </w:r>
    </w:p>
    <w:bookmarkEnd w:id="27"/>
    <w:bookmarkStart w:id="28" w:name="methodologies-and-interventions"/>
    <w:p>
      <w:pPr>
        <w:pStyle w:val="Heading2"/>
      </w:pPr>
      <w:r>
        <w:t xml:space="preserve">5. Methodologies and Interventions</w:t>
      </w:r>
    </w:p>
    <w:p>
      <w:pPr>
        <w:pStyle w:val="FirstParagraph"/>
      </w:pPr>
      <w:r>
        <w:t xml:space="preserve">Social work practice in Paris employs a mix of individual counseling, group therapy, and community organizing. There is a growing emphasis on:</w:t>
      </w:r>
    </w:p>
    <w:p>
      <w:pPr>
        <w:numPr>
          <w:ilvl w:val="0"/>
          <w:numId w:val="1003"/>
        </w:numPr>
        <w:pStyle w:val="Compact"/>
      </w:pPr>
      <w:r>
        <w:t xml:space="preserve">Intercultural Mediation:</w:t>
      </w:r>
      <w:r>
        <w:t xml:space="preserve"> </w:t>
      </w:r>
      <w:r>
        <w:t xml:space="preserve">Using mediators who share linguistic or cultural backgrounds with clients to facilitate communication.</w:t>
      </w:r>
    </w:p>
    <w:p>
      <w:pPr>
        <w:numPr>
          <w:ilvl w:val="0"/>
          <w:numId w:val="1003"/>
        </w:numPr>
        <w:pStyle w:val="Compact"/>
      </w:pPr>
      <w:r>
        <w:t xml:space="preserve">Asset-Based Community Development (ABCD):</w:t>
      </w:r>
      <w:r>
        <w:t xml:space="preserve"> </w:t>
      </w:r>
      <w:r>
        <w:t xml:space="preserve">Focusing on the strengths and resources within local neighborhoods rather than just deficits.</w:t>
      </w:r>
    </w:p>
    <w:bookmarkEnd w:id="28"/>
    <w:bookmarkStart w:id="29" w:name="case-study-the-18th-arrondissement"/>
    <w:p>
      <w:pPr>
        <w:pStyle w:val="Heading2"/>
      </w:pPr>
      <w:r>
        <w:t xml:space="preserve">6. Case Study: The 18th Arrondissement</w:t>
      </w:r>
    </w:p>
    <w:p>
      <w:pPr>
        <w:pStyle w:val="FirstParagraph"/>
      </w:pPr>
      <w:r>
        <w:t xml:space="preserve">The 18th Arrondissement, known for its vibrant culture and historical significance (home to Montmartre), also faces high levels of social deprivation. A recent pilot program in this district focused on youth employment and education support. Social workers collaborated with local businesses to create apprenticeship opportunities, demonstrating the effectiveness of cross-sector partnerships in addressing urban poverty.</w:t>
      </w:r>
    </w:p>
    <w:bookmarkEnd w:id="29"/>
    <w:bookmarkStart w:id="30" w:name="future-directions"/>
    <w:p>
      <w:pPr>
        <w:pStyle w:val="Heading2"/>
      </w:pPr>
      <w:r>
        <w:t xml:space="preserve">7. Future Directions</w:t>
      </w:r>
    </w:p>
    <w:p>
      <w:pPr>
        <w:pStyle w:val="FirstParagraph"/>
      </w:pPr>
      <w:r>
        <w:t xml:space="preserve">The future of social work in France, Paris is likely to be shaped by digital transformation and ongoing demographic shifts. There is a need for more training in digital literacy for social workers to assist clients with online administrative services. Additionally, as climate change impacts urban environments, social workers will play an increasingly important role in disaster preparedness and resilience planning.</w:t>
      </w:r>
    </w:p>
    <w:bookmarkEnd w:id="30"/>
    <w:bookmarkStart w:id="31" w:name="conclusion"/>
    <w:p>
      <w:pPr>
        <w:pStyle w:val="Heading2"/>
      </w:pPr>
      <w:r>
        <w:t xml:space="preserve">8. Conclusion</w:t>
      </w:r>
    </w:p>
    <w:p>
      <w:pPr>
        <w:pStyle w:val="FirstParagraph"/>
      </w:pPr>
      <w:r>
        <w:t xml:space="preserve">The role of the social worker in France, Paris is dynamic and essential. By navigating the intricate balance between national policy and local needs, social workers contribute significantly to the well-being of Parisian society. Future research should focus on evaluating the long-term impacts of recent legislative reforms on client outcomes.</w:t>
      </w:r>
    </w:p>
    <w:bookmarkEnd w:id="31"/>
    <w:bookmarkStart w:id="32" w:name="references"/>
    <w:p>
      <w:pPr>
        <w:pStyle w:val="Heading2"/>
      </w:pPr>
      <w:r>
        <w:t xml:space="preserve">References</w:t>
      </w:r>
    </w:p>
    <w:p>
      <w:pPr>
        <w:numPr>
          <w:ilvl w:val="0"/>
          <w:numId w:val="1004"/>
        </w:numPr>
        <w:pStyle w:val="Compact"/>
      </w:pPr>
      <w:r>
        <w:t xml:space="preserve">Bourricaud, F. (2019).</w:t>
      </w:r>
      <w:r>
        <w:t xml:space="preserve"> </w:t>
      </w:r>
      <w:r>
        <w:rPr>
          <w:iCs/>
          <w:i/>
        </w:rPr>
        <w:t xml:space="preserve">The Sociology of Institutions in France.</w:t>
      </w:r>
    </w:p>
    <w:p>
      <w:pPr>
        <w:numPr>
          <w:ilvl w:val="0"/>
          <w:numId w:val="1004"/>
        </w:numPr>
        <w:pStyle w:val="Compact"/>
      </w:pPr>
      <w:r>
        <w:t xml:space="preserve">CASF (Code de l’Action Sociale et des Familles). Latest Edition.</w:t>
      </w:r>
    </w:p>
    <w:p>
      <w:pPr>
        <w:numPr>
          <w:ilvl w:val="0"/>
          <w:numId w:val="1004"/>
        </w:numPr>
        <w:pStyle w:val="Compact"/>
      </w:pPr>
      <w:r>
        <w:t xml:space="preserve">DALO Association Reports on Housing Rights in Paris, 2020-2023.</w:t>
      </w:r>
    </w:p>
    <w:p>
      <w:pPr>
        <w:numPr>
          <w:ilvl w:val="0"/>
          <w:numId w:val="1004"/>
        </w:numPr>
        <w:pStyle w:val="Compact"/>
      </w:pPr>
      <w:r>
        <w:t xml:space="preserve">Mairie de Paris.</w:t>
      </w:r>
      <w:r>
        <w:t xml:space="preserve"> </w:t>
      </w:r>
      <w:r>
        <w:rPr>
          <w:iCs/>
          <w:i/>
        </w:rPr>
        <w:t xml:space="preserve">Rapport Annuel sur la Politique du Logement</w:t>
      </w:r>
      <w:r>
        <w:t xml:space="preserve">. (Annual Report on Housing Policy).</w:t>
      </w:r>
    </w:p>
    <w:bookmarkEnd w:id="32"/>
    <w:p>
      <w:pPr>
        <w:pStyle w:val="FirstParagraph"/>
      </w:pPr>
      <w:r>
        <w:t xml:space="preserve">© 2023 Institute for Social Research in Urban Environments.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Social Worker in France, Paris</dc:title>
  <dc:creator/>
  <dc:language>en</dc:language>
  <cp:keywords/>
  <dcterms:created xsi:type="dcterms:W3CDTF">2026-07-29T14:03:06Z</dcterms:created>
  <dcterms:modified xsi:type="dcterms:W3CDTF">2026-07-29T14:03:06Z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