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Social</w:t>
      </w:r>
      <w:r>
        <w:t xml:space="preserve"> </w:t>
      </w:r>
      <w:r>
        <w:t xml:space="preserve">Work</w:t>
      </w:r>
      <w:r>
        <w:t xml:space="preserve"> </w:t>
      </w:r>
      <w:r>
        <w:t xml:space="preserve">in</w:t>
      </w:r>
      <w:r>
        <w:t xml:space="preserve"> </w:t>
      </w:r>
      <w:r>
        <w:t xml:space="preserve">Mumbai</w:t>
      </w:r>
    </w:p>
    <w:bookmarkStart w:id="20" w:name="Xa33b0a684b601e4558466d8807b783bacbce2b0"/>
    <w:p>
      <w:pPr>
        <w:pStyle w:val="Heading1"/>
      </w:pPr>
      <w:r>
        <w:t xml:space="preserve">Bridging Gaps in the Mega-City: The Evolving Role of Social Workers in Mumbai, India</w:t>
      </w:r>
    </w:p>
    <w:p>
      <w:pPr>
        <w:pStyle w:val="FirstParagraph"/>
      </w:pPr>
      <w:r>
        <w:br/>
      </w:r>
      <w:r>
        <w:t xml:space="preserve">*An Academic Poster Presentation on Community Engagement, Crisis Management, and Structural Advocacy*</w:t>
      </w:r>
    </w:p>
    <w:p>
      <w:pPr>
        <w:pStyle w:val="BodyText"/>
      </w:pPr>
      <w:r>
        <w:t xml:space="preserve">Presented By: [Your Name/Academic Institution]</w:t>
      </w:r>
      <w:r>
        <w:br/>
      </w:r>
      <w:r>
        <w:t xml:space="preserve">Department of Social Work &amp; Public Policy</w:t>
      </w:r>
      <w:r>
        <w:br/>
      </w:r>
      <w:r>
        <w:t xml:space="preserve">Focus Region: Mumbai Metropolitan Region (MMR), India</w:t>
      </w:r>
    </w:p>
    <w:bookmarkEnd w:id="20"/>
    <w:bookmarkStart w:id="21" w:name="introduction-and-contextual-background"/>
    <w:p>
      <w:pPr>
        <w:pStyle w:val="Heading2"/>
      </w:pPr>
      <w:r>
        <w:t xml:space="preserve">1. Introduction and Contextual Background</w:t>
      </w:r>
    </w:p>
    <w:p>
      <w:pPr>
        <w:pStyle w:val="FirstParagraph"/>
      </w:pPr>
      <w:r>
        <w:br/>
      </w:r>
    </w:p>
    <w:p>
      <w:pPr>
        <w:pStyle w:val="BodyText"/>
      </w:pPr>
      <w:r>
        <w:t xml:space="preserve">Mumbai, formerly known as Bombay, stands as the financial capital of India and one of the most populous urban agglomerations in the world. With a population exceeding 20 million in its metropolitan region, Mumbai presents a unique paradox of extreme wealth juxtaposed against severe poverty. This stark dichotomy creates complex socio-economic challenges that require specialized intervention. In this</w:t>
      </w:r>
      <w:r>
        <w:t xml:space="preserve"> </w:t>
      </w:r>
      <w:r>
        <w:rPr>
          <w:bCs/>
          <w:b/>
        </w:rPr>
        <w:t xml:space="preserve">Poster Presentation Academic</w:t>
      </w:r>
      <w:r>
        <w:t xml:space="preserve"> </w:t>
      </w:r>
      <w:r>
        <w:t xml:space="preserve">document, we explore the critical role of</w:t>
      </w:r>
      <w:r>
        <w:t xml:space="preserve"> </w:t>
      </w:r>
      <w:r>
        <w:rPr>
          <w:bCs/>
          <w:b/>
        </w:rPr>
        <w:t xml:space="preserve">Social Worker</w:t>
      </w:r>
      <w:r>
        <w:t xml:space="preserve"> </w:t>
      </w:r>
      <w:r>
        <w:t xml:space="preserve">practitioners operating within the specific geographic and cultural context of</w:t>
      </w:r>
    </w:p>
    <w:p>
      <w:pPr>
        <w:pStyle w:val="BodyText"/>
      </w:pPr>
      <w:r>
        <w:t xml:space="preserve">India Mumbai.</w:t>
      </w:r>
    </w:p>
    <w:p>
      <w:pPr>
        <w:pStyle w:val="BodyText"/>
      </w:pPr>
      <w:r>
        <w:br/>
      </w:r>
    </w:p>
    <w:p>
      <w:pPr>
        <w:pStyle w:val="BodyText"/>
      </w:pPr>
      <w:r>
        <w:t xml:space="preserve">The landscape of social work in Mumbai is not merely about charitable aid; it involves navigating a labyrinthine urban infrastructure, diverse linguistic groups, caste dynamics, and rapid urbanization. The primary objective of this presentation is to highlight how professional social workers act as pivotal agents of change, addressing immediate crises while simultaneously advocating for long-term structural reforms. From the bustling business districts of South Mumbai to the sprawling chawls (tenements) and slums of Dharavi, social workers serve as bridges between marginalized communities and state resources.</w:t>
      </w:r>
    </w:p>
    <w:p>
      <w:pPr>
        <w:pStyle w:val="BodyText"/>
      </w:pPr>
      <w:r>
        <w:br/>
      </w:r>
    </w:p>
    <w:bookmarkEnd w:id="21"/>
    <w:bookmarkStart w:id="22" w:name="scope-of-intervention-in-mumbai"/>
    <w:p>
      <w:pPr>
        <w:pStyle w:val="Heading2"/>
      </w:pPr>
      <w:r>
        <w:t xml:space="preserve">2. Scope of Intervention in Mumbai</w:t>
      </w:r>
    </w:p>
    <w:p>
      <w:pPr>
        <w:pStyle w:val="FirstParagraph"/>
      </w:pPr>
      <w:r>
        <w:br/>
      </w:r>
    </w:p>
    <w:p>
      <w:pPr>
        <w:pStyle w:val="BodyText"/>
      </w:pPr>
      <w:r>
        <w:t xml:space="preserve">The scope of practice for a</w:t>
      </w:r>
      <w:r>
        <w:t xml:space="preserve"> </w:t>
      </w:r>
      <w:r>
        <w:rPr>
          <w:bCs/>
          <w:b/>
        </w:rPr>
        <w:t xml:space="preserve">Social Worker</w:t>
      </w:r>
      <w:r>
        <w:t xml:space="preserve"> </w:t>
      </w:r>
      <w:r>
        <w:t xml:space="preserve">in this context is multifaceted. Unlike rural social work which may focus heavily on agricultural livelihoods, the urban setting of India Mumbai demands expertise in housing rights, labor welfare, mental health amidst high-stress environments, and education access. Our analysis draws upon case studies from various Non-Governmental Organizations (NGOs) and government-affiliated bodies operating across wards of Mumbai.</w:t>
      </w:r>
    </w:p>
    <w:p>
      <w:pPr>
        <w:pStyle w:val="BodyText"/>
      </w:pPr>
      <w:r>
        <w:br/>
      </w:r>
    </w:p>
    <w:p>
      <w:pPr>
        <w:numPr>
          <w:ilvl w:val="0"/>
          <w:numId w:val="1001"/>
        </w:numPr>
        <w:pStyle w:val="Compact"/>
      </w:pPr>
      <w:r>
        <w:rPr>
          <w:bCs/>
          <w:b/>
        </w:rPr>
        <w:t xml:space="preserve">Housing Justice:</w:t>
      </w:r>
      <w:r>
        <w:t xml:space="preserve"> </w:t>
      </w:r>
      <w:r>
        <w:t xml:space="preserve">Addressing eviction threats in informal settlements through legal aid and community organizing.</w:t>
      </w:r>
    </w:p>
    <w:p>
      <w:pPr>
        <w:numPr>
          <w:ilvl w:val="0"/>
          <w:numId w:val="1001"/>
        </w:numPr>
        <w:pStyle w:val="Compact"/>
      </w:pPr>
      <w:r>
        <w:rPr>
          <w:bCs/>
          <w:b/>
        </w:rPr>
        <w:t xml:space="preserve">Labor Welfare:</w:t>
      </w:r>
      <w:r>
        <w:t xml:space="preserve"> </w:t>
      </w:r>
      <w:r>
        <w:t xml:space="preserve">Supporting gig workers, domestic helpers, and construction laborers who lack formal social security nets.</w:t>
      </w:r>
    </w:p>
    <w:p>
      <w:pPr>
        <w:numPr>
          <w:ilvl w:val="0"/>
          <w:numId w:val="1001"/>
        </w:numPr>
        <w:pStyle w:val="Compact"/>
      </w:pPr>
      <w:r>
        <w:rPr>
          <w:bCs/>
          <w:b/>
        </w:rPr>
        <w:t xml:space="preserve">Gender-Based Violence:</w:t>
      </w:r>
      <w:r>
        <w:t xml:space="preserve"> </w:t>
      </w:r>
      <w:r>
        <w:t xml:space="preserve">Providing safe spaces and counseling for survivors of domestic violence, a pervasive issue in dense urban households.</w:t>
      </w:r>
    </w:p>
    <w:p>
      <w:pPr>
        <w:numPr>
          <w:ilvl w:val="0"/>
          <w:numId w:val="1001"/>
        </w:numPr>
        <w:pStyle w:val="Compact"/>
      </w:pPr>
      <w:r>
        <w:rPr>
          <w:iCs/>
          <w:i/>
          <w:vertAlign w:val="subscript"/>
        </w:rPr>
        <w:t xml:space="preserve">Note: The density of population in India Mumbai necessitates innovative approaches to service delivery that are scalable and sustainable.</w:t>
      </w:r>
    </w:p>
    <w:p>
      <w:pPr>
        <w:pStyle w:val="FirstParagraph"/>
      </w:pPr>
      <w:r>
        <w:br/>
      </w:r>
    </w:p>
    <w:bookmarkEnd w:id="22"/>
    <w:bookmarkStart w:id="23" w:name="Xd2e3d984c86d9bfbd1dd752ea4bfb6ca220147a"/>
    <w:p>
      <w:pPr>
        <w:pStyle w:val="Heading2"/>
      </w:pPr>
      <w:r>
        <w:t xml:space="preserve">3. Critical Challenges Faced by Social Workers</w:t>
      </w:r>
    </w:p>
    <w:p>
      <w:pPr>
        <w:pStyle w:val="FirstParagraph"/>
      </w:pPr>
      <w:r>
        <w:br/>
      </w:r>
    </w:p>
    <w:p>
      <w:pPr>
        <w:pStyle w:val="BodyText"/>
      </w:pPr>
      <w:r>
        <w:t xml:space="preserve">Operating a professional practice as a</w:t>
      </w:r>
      <w:r>
        <w:t xml:space="preserve"> </w:t>
      </w:r>
      <w:r>
        <w:rPr>
          <w:bCs/>
          <w:b/>
        </w:rPr>
        <w:t xml:space="preserve">Social Worker</w:t>
      </w:r>
      <w:r>
        <w:t xml:space="preserve"> </w:t>
      </w:r>
      <w:r>
        <w:t xml:space="preserve">in India Mumbai presents distinct hurdles. First, the sheer scale of need often outpaces the availability of resources. Second, bureaucratic red tape can hinder rapid response during emergencies such as floods or pandemics. Furthermore, there is a persistent stigma associated with seeking help for mental health issues in certain conservative segments of society.</w:t>
      </w:r>
    </w:p>
    <w:p>
      <w:pPr>
        <w:pStyle w:val="BodyText"/>
      </w:pPr>
      <w:r>
        <w:br/>
      </w:r>
    </w:p>
    <w:p>
      <w:pPr>
        <w:pStyle w:val="BodyText"/>
      </w:pPr>
      <w:r>
        <w:rPr>
          <w:bCs/>
          <w:b/>
        </w:rPr>
        <w:t xml:space="preserve">Key Finding:</w:t>
      </w:r>
      <w:r>
        <w:t xml:space="preserve"> </w:t>
      </w:r>
      <w:r>
        <w:t xml:space="preserve">Research indicates that social workers who utilize community-based participatory methods achieve higher retention rates and trust levels among residents in Mumbai's informal settlements compared to top-down intervention models. This emphasizes the importance of cultural competence in academic training for practitioners targeting India Mumbai contexts.</w:t>
      </w:r>
    </w:p>
    <w:p>
      <w:pPr>
        <w:pStyle w:val="BodyText"/>
      </w:pPr>
      <w:r>
        <w:br/>
      </w:r>
    </w:p>
    <w:p>
      <w:pPr>
        <w:pStyle w:val="BodyText"/>
      </w:pPr>
      <w:r>
        <w:t xml:space="preserve">Additionally, safety concerns are prevalent. Social workers often operate in high-risk areas where land disputes or political affiliations can lead to conflict. Therefore, robust support systems and training in de-escalation techniques are essential components of any academic curriculum preparing students for fieldwork in this region.</w:t>
      </w:r>
    </w:p>
    <w:p>
      <w:pPr>
        <w:pStyle w:val="BodyText"/>
      </w:pPr>
      <w:r>
        <w:br/>
      </w:r>
    </w:p>
    <w:bookmarkEnd w:id="23"/>
    <w:bookmarkStart w:id="26" w:name="innovative-strategies-and-best-practices"/>
    <w:p>
      <w:pPr>
        <w:pStyle w:val="Heading2"/>
      </w:pPr>
      <w:r>
        <w:t xml:space="preserve">4. Innovative Strategies and Best Practices</w:t>
      </w:r>
    </w:p>
    <w:p>
      <w:pPr>
        <w:pStyle w:val="FirstParagraph"/>
      </w:pPr>
      <w:r>
        <w:br/>
      </w:r>
    </w:p>
    <w:p>
      <w:pPr>
        <w:pStyle w:val="BodyText"/>
      </w:pPr>
      <w:r>
        <w:t xml:space="preserve">To address these challenges, contemporary social work practices in Mumbai have adopted innovative strategies. Digital literacy programs are being introduced to empower youth, enabling them to access online government schemes (Direct Benefit Transfers). Moreover, mobile health units staffed by social workers and nurses are reaching remote pockets of the city that static clinics cannot serve.</w:t>
      </w:r>
    </w:p>
    <w:p>
      <w:pPr>
        <w:pStyle w:val="BodyText"/>
      </w:pPr>
      <w:r>
        <w:br/>
      </w:r>
    </w:p>
    <w:bookmarkStart w:id="24" w:name="community-led-development"/>
    <w:p>
      <w:pPr>
        <w:pStyle w:val="Heading3"/>
      </w:pPr>
      <w:r>
        <w:t xml:space="preserve">4.1 Community-Led Development</w:t>
      </w:r>
    </w:p>
    <w:p>
      <w:pPr>
        <w:pStyle w:val="FirstParagraph"/>
      </w:pPr>
      <w:r>
        <w:br/>
      </w:r>
    </w:p>
    <w:p>
      <w:pPr>
        <w:pStyle w:val="BodyText"/>
      </w:pPr>
      <w:r>
        <w:t xml:space="preserve">A significant shift in the role of the</w:t>
      </w:r>
      <w:r>
        <w:t xml:space="preserve"> </w:t>
      </w:r>
      <w:r>
        <w:rPr>
          <w:bCs/>
          <w:b/>
        </w:rPr>
        <w:t xml:space="preserve">Social Worker</w:t>
      </w:r>
      <w:r>
        <w:t xml:space="preserve"> </w:t>
      </w:r>
      <w:r>
        <w:t xml:space="preserve">is moving from being a "savior" to being a "facilitator." In India Mumbai, successful projects often involve training local leaders within slums and marginalized communities to advocate for their own rights. This empowerment model ensures sustainability long after external academic or NGO support withdraws.</w:t>
      </w:r>
    </w:p>
    <w:p>
      <w:pPr>
        <w:pStyle w:val="BodyText"/>
      </w:pPr>
      <w:r>
        <w:br/>
      </w:r>
    </w:p>
    <w:bookmarkEnd w:id="24"/>
    <w:bookmarkStart w:id="25" w:name="interdisciplinary-collaboration"/>
    <w:p>
      <w:pPr>
        <w:pStyle w:val="Heading3"/>
      </w:pPr>
      <w:r>
        <w:t xml:space="preserve">4.2 Interdisciplinary Collaboration</w:t>
      </w:r>
    </w:p>
    <w:p>
      <w:pPr>
        <w:pStyle w:val="FirstParagraph"/>
      </w:pPr>
      <w:r>
        <w:br/>
      </w:r>
    </w:p>
    <w:p>
      <w:pPr>
        <w:pStyle w:val="BodyText"/>
      </w:pPr>
      <w:r>
        <w:t xml:space="preserve">Effective intervention requires collaboration with urban planners, public health officials, and legal experts. For instance, in rehabilitating flood-affected areas post-monsoon rains, social workers coordinate with municipal corporations to ensure that affected families receive timely compensation and temporary housing. This interdisciplinary approach is a cornerstone of modern academic discourse on urban social work.</w:t>
      </w:r>
    </w:p>
    <w:p>
      <w:pPr>
        <w:pStyle w:val="BodyText"/>
      </w:pPr>
      <w:r>
        <w:br/>
      </w:r>
    </w:p>
    <w:bookmarkEnd w:id="25"/>
    <w:bookmarkEnd w:id="26"/>
    <w:bookmarkStart w:id="27" w:name="X1c29093e9a01fc38df63ed320cbbaf61f567f52"/>
    <w:p>
      <w:pPr>
        <w:pStyle w:val="Heading2"/>
      </w:pPr>
      <w:r>
        <w:t xml:space="preserve">5. Case Study: Dharavi Redevelopment and Social Impact</w:t>
      </w:r>
    </w:p>
    <w:p>
      <w:pPr>
        <w:pStyle w:val="FirstParagraph"/>
      </w:pPr>
      <w:r>
        <w:br/>
      </w:r>
    </w:p>
    <w:p>
      <w:pPr>
        <w:pStyle w:val="BodyText"/>
      </w:pPr>
      <w:r>
        <w:t xml:space="preserve">Dharavi, one of Asia's largest slums, serves as a microcosm for the challenges faced by</w:t>
      </w:r>
      <w:r>
        <w:t xml:space="preserve"> </w:t>
      </w:r>
      <w:r>
        <w:rPr>
          <w:bCs/>
          <w:b/>
        </w:rPr>
        <w:t xml:space="preserve">Social Worker</w:t>
      </w:r>
      <w:r>
        <w:t xml:space="preserve"> </w:t>
      </w:r>
      <w:r>
        <w:t xml:space="preserve">professionals in India Mumbai. As redevelopment projects loom, there is a risk of displacing thousands of families who have lived there for generations. Social workers play a crucial mediating role here.</w:t>
      </w:r>
    </w:p>
    <w:p>
      <w:pPr>
        <w:pStyle w:val="BodyText"/>
      </w:pPr>
      <w:r>
        <w:br/>
      </w:r>
    </w:p>
    <w:p>
      <w:pPr>
        <w:numPr>
          <w:ilvl w:val="0"/>
          <w:numId w:val="1002"/>
        </w:numPr>
        <w:pStyle w:val="Compact"/>
      </w:pPr>
      <w:r>
        <w:rPr>
          <w:bCs/>
          <w:b/>
        </w:rPr>
        <w:t xml:space="preserve">Voice for the Voiceless:</w:t>
      </w:r>
      <w:r>
        <w:t xml:space="preserve"> </w:t>
      </w:r>
      <w:r>
        <w:t xml:space="preserve">They organize community meetings to inform residents about their legal rights regarding rehabilitation packages.</w:t>
      </w:r>
    </w:p>
    <w:p>
      <w:pPr>
        <w:numPr>
          <w:ilvl w:val="0"/>
          <w:numId w:val="1002"/>
        </w:numPr>
        <w:pStyle w:val="Compact"/>
      </w:pPr>
      <w:r>
        <w:rPr>
          <w:bCs/>
          <w:b/>
        </w:rPr>
        <w:t xml:space="preserve">Economic Transition Support:</w:t>
      </w:r>
      <w:r>
        <w:t xml:space="preserve"> </w:t>
      </w:r>
      <w:r>
        <w:t xml:space="preserve">They assist informal sector workers (pottery, leather goods, recycling) in adapting to new commercial zones or finding alternative livelihoods if relocation occurs.</w:t>
      </w:r>
    </w:p>
    <w:p>
      <w:pPr>
        <w:numPr>
          <w:ilvl w:val="0"/>
          <w:numId w:val="1002"/>
        </w:numPr>
        <w:pStyle w:val="Compact"/>
      </w:pPr>
      <w:r>
        <w:rPr>
          <w:bCs/>
          <w:b/>
        </w:rPr>
        <w:t xml:space="preserve">Cultural Preservation:</w:t>
      </w:r>
      <w:r>
        <w:t xml:space="preserve"> </w:t>
      </w:r>
      <w:r>
        <w:t xml:space="preserve">Efforts are made to preserve community networks and cultural heritage amidst physical restructuring.</w:t>
      </w:r>
    </w:p>
    <w:p>
      <w:pPr>
        <w:pStyle w:val="FirstParagraph"/>
      </w:pPr>
      <w:r>
        <w:br/>
      </w:r>
    </w:p>
    <w:p>
      <w:pPr>
        <w:pStyle w:val="BodyText"/>
      </w:pPr>
      <w:r>
        <w:t xml:space="preserve">This case study underscores that social work is not just about alleviating poverty but also about protecting dignity and ensuring equitable urban development. It highlights the necessity of nuanced policy recommendations derived from ground-level academic research conducted by professionals in India Mumbai.</w:t>
      </w:r>
    </w:p>
    <w:p>
      <w:pPr>
        <w:pStyle w:val="BodyText"/>
      </w:pPr>
      <w:r>
        <w:br/>
      </w:r>
    </w:p>
    <w:bookmarkEnd w:id="27"/>
    <w:bookmarkStart w:id="28" w:name="conclusion-and-recommendations"/>
    <w:p>
      <w:pPr>
        <w:pStyle w:val="Heading2"/>
      </w:pPr>
      <w:r>
        <w:t xml:space="preserve">6. Conclusion and Recommendations</w:t>
      </w:r>
    </w:p>
    <w:p>
      <w:pPr>
        <w:pStyle w:val="FirstParagraph"/>
      </w:pPr>
      <w:r>
        <w:br/>
      </w:r>
    </w:p>
    <w:p>
      <w:pPr>
        <w:pStyle w:val="BodyText"/>
      </w:pPr>
      <w:r>
        <w:t xml:space="preserve">In conclusion, the role of the</w:t>
      </w:r>
      <w:r>
        <w:t xml:space="preserve"> </w:t>
      </w:r>
      <w:r>
        <w:rPr>
          <w:bCs/>
          <w:b/>
        </w:rPr>
        <w:t xml:space="preserve">Social Worker</w:t>
      </w:r>
      <w:r>
        <w:t xml:space="preserve"> </w:t>
      </w:r>
      <w:r>
        <w:t xml:space="preserve">in India Mumbai is indispensable for fostering social cohesion and justice. The city’s unique challenges demand specialized skills, resilience, and a deep understanding of local socio-cultural dynamics. This</w:t>
      </w:r>
      <w:r>
        <w:t xml:space="preserve"> </w:t>
      </w:r>
      <w:r>
        <w:rPr>
          <w:bCs/>
          <w:b/>
        </w:rPr>
        <w:t xml:space="preserve">Poster Presentation Academic</w:t>
      </w:r>
      <w:r>
        <w:t xml:space="preserve"> </w:t>
      </w:r>
      <w:r>
        <w:t xml:space="preserve">document argues that future efforts must focus on three pillars:</w:t>
      </w:r>
    </w:p>
    <w:p>
      <w:pPr>
        <w:pStyle w:val="BodyText"/>
      </w:pPr>
      <w:r>
        <w:br/>
      </w:r>
    </w:p>
    <w:p>
      <w:pPr>
        <w:numPr>
          <w:ilvl w:val="0"/>
          <w:numId w:val="1003"/>
        </w:numPr>
        <w:pStyle w:val="Compact"/>
      </w:pPr>
      <w:r>
        <w:rPr>
          <w:bCs/>
          <w:b/>
        </w:rPr>
        <w:t xml:space="preserve">Education:</w:t>
      </w:r>
      <w:r>
        <w:t xml:space="preserve"> </w:t>
      </w:r>
      <w:r>
        <w:t xml:space="preserve">Enhancing curricula in social work schools to include urban-specific modules, legal literacy, and trauma-informed care relevant to the Indian context.</w:t>
      </w:r>
    </w:p>
    <w:p>
      <w:pPr>
        <w:numPr>
          <w:ilvl w:val="0"/>
          <w:numId w:val="1003"/>
        </w:numPr>
        <w:pStyle w:val="Compact"/>
      </w:pPr>
      <w:r>
        <w:rPr>
          <w:bCs/>
          <w:b/>
        </w:rPr>
        <w:t xml:space="preserve">Policymaking:</w:t>
      </w:r>
      <w:r>
        <w:t xml:space="preserve"> </w:t>
      </w:r>
      <w:r>
        <w:t xml:space="preserve">Integrating social worker insights into urban planning policies in Mumbai to prevent displacement and ensure inclusive growth.</w:t>
      </w:r>
    </w:p>
    <w:p>
      <w:pPr>
        <w:numPr>
          <w:ilvl w:val="0"/>
          <w:numId w:val="1003"/>
        </w:numPr>
        <w:pStyle w:val="Compact"/>
      </w:pPr>
      <w:r>
        <w:rPr>
          <w:bCs/>
          <w:b/>
        </w:rPr>
        <w:t xml:space="preserve">Funding:</w:t>
      </w:r>
      <w:r>
        <w:t xml:space="preserve"> </w:t>
      </w:r>
      <w:r>
        <w:t xml:space="preserve">Increasing sustainable funding for grassroots NGOs that employ local social workers, ensuring continuity of care.</w:t>
      </w:r>
    </w:p>
    <w:p>
      <w:pPr>
        <w:pStyle w:val="FirstParagraph"/>
      </w:pPr>
      <w:r>
        <w:br/>
      </w:r>
    </w:p>
    <w:p>
      <w:pPr>
        <w:pStyle w:val="BodyText"/>
      </w:pPr>
      <w:r>
        <w:t xml:space="preserve">The resilience of the people of India Mumbai provides inspiration for social work practitioners. By continuing to innovate and advocate, social workers can transform the city from a place of mere survival to one where every citizen has the opportunity to thrive. The academic community must continue supporting this vital profession through rigorous research and practical training.</w:t>
      </w:r>
    </w:p>
    <w:p>
      <w:pPr>
        <w:pStyle w:val="BodyText"/>
      </w:pPr>
      <w:r>
        <w:br/>
      </w:r>
    </w:p>
    <w:bookmarkEnd w:id="28"/>
    <w:bookmarkStart w:id="29" w:name="references-selected"/>
    <w:p>
      <w:pPr>
        <w:pStyle w:val="Heading2"/>
      </w:pPr>
      <w:r>
        <w:t xml:space="preserve">7. References (Selected)</w:t>
      </w:r>
    </w:p>
    <w:p>
      <w:pPr>
        <w:pStyle w:val="FirstParagraph"/>
      </w:pPr>
      <w:r>
        <w:br/>
      </w:r>
    </w:p>
    <w:p>
      <w:pPr>
        <w:numPr>
          <w:ilvl w:val="0"/>
          <w:numId w:val="1004"/>
        </w:numPr>
        <w:pStyle w:val="Compact"/>
      </w:pPr>
      <w:r>
        <w:t xml:space="preserve">Maharashtra Urban Development Authority Reports on Slum Rehabilitation.</w:t>
      </w:r>
    </w:p>
    <w:p>
      <w:pPr>
        <w:numPr>
          <w:ilvl w:val="0"/>
          <w:numId w:val="1004"/>
        </w:numPr>
        <w:pStyle w:val="Compact"/>
      </w:pPr>
      <w:r>
        <w:t xml:space="preserve">National Commission for Protection of Child Rights (NCPCR) Studies on Mumbai's Street Children.</w:t>
      </w:r>
    </w:p>
    <w:p>
      <w:pPr>
        <w:numPr>
          <w:ilvl w:val="0"/>
          <w:numId w:val="1004"/>
        </w:numPr>
        <w:pStyle w:val="Compact"/>
      </w:pPr>
      <w:r>
        <w:t xml:space="preserve">Journals of Social Work Practice in India: Vol. 35, Issue 2 (Urban Challenges).</w:t>
      </w:r>
    </w:p>
    <w:p>
      <w:pPr>
        <w:numPr>
          <w:ilvl w:val="0"/>
          <w:numId w:val="1004"/>
        </w:numPr>
        <w:pStyle w:val="Compact"/>
      </w:pPr>
      <w:r>
        <w:t xml:space="preserve">Census of India Data regarding Mumbai Metropolitan Region demographics.</w:t>
      </w:r>
    </w:p>
    <w:p>
      <w:pPr>
        <w:pStyle w:val="FirstParagraph"/>
      </w:pPr>
      <w:r>
        <w:br/>
      </w:r>
    </w:p>
    <w:p>
      <w:pPr>
        <w:pStyle w:val="BodyText"/>
      </w:pPr>
      <w:r>
        <w:t xml:space="preserve">For further inquiries or collaboration opportunities regarding social work initiatives in Mumbai, please contact the department office. This document is intended for academic discussion and policy review purposes.</w:t>
      </w:r>
      <w:r>
        <w:br/>
      </w:r>
      <w:r>
        <w:t xml:space="preserve">© 2023 Academic Poster Presentation Series - Social Work in India Mumbai.</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Social Work in Mumbai</dc:title>
  <dc:creator/>
  <dc:language>en</dc:language>
  <cp:keywords/>
  <dcterms:created xsi:type="dcterms:W3CDTF">2026-07-29T18:02:25Z</dcterms:created>
  <dcterms:modified xsi:type="dcterms:W3CDTF">2026-07-29T18:02:25Z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