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Social</w:t>
      </w:r>
      <w:r>
        <w:t xml:space="preserve"> </w:t>
      </w:r>
      <w:r>
        <w:t xml:space="preserve">Work</w:t>
      </w:r>
      <w:r>
        <w:t xml:space="preserve"> </w:t>
      </w:r>
      <w:r>
        <w:t xml:space="preserve">in</w:t>
      </w:r>
      <w:r>
        <w:t xml:space="preserve"> </w:t>
      </w:r>
      <w:r>
        <w:t xml:space="preserve">Kuwait</w:t>
      </w:r>
      <w:r>
        <w:t xml:space="preserve"> </w:t>
      </w:r>
      <w:r>
        <w:t xml:space="preserve">City</w:t>
      </w:r>
    </w:p>
    <w:bookmarkStart w:id="31" w:name="Xe90f0c1590fa289ecf814b96505a9800b1141b6"/>
    <w:p>
      <w:pPr>
        <w:pStyle w:val="Heading1"/>
      </w:pPr>
      <w:r>
        <w:t xml:space="preserve">The Evolving Role of the Social Worker in Kuwait City</w:t>
      </w:r>
    </w:p>
    <w:p>
      <w:pPr>
        <w:pStyle w:val="FirstParagraph"/>
      </w:pPr>
      <w:r>
        <w:t xml:space="preserve">Navigating Cultural Traditions, Modernization, and Community Resilience in a Dynamic Gulf Urban Center</w:t>
      </w:r>
    </w:p>
    <w:p>
      <w:pPr>
        <w:pStyle w:val="BodyText"/>
      </w:pPr>
      <w:r>
        <w:t xml:space="preserve">Presented by: [Researcher Name]</w:t>
      </w:r>
      <w:r>
        <w:br/>
      </w:r>
      <w:r>
        <w:t xml:space="preserve">Institution: Faculty of Social Sciences &amp; Health Studies</w:t>
      </w:r>
      <w:r>
        <w:br/>
      </w:r>
      <w:r>
        <w:t xml:space="preserve">Location Focus: Kuwait City, State of Kuwait</w:t>
      </w:r>
      <w:r>
        <w:br/>
      </w:r>
      <w:r>
        <w:t xml:space="preserve">Date: October 2023 / Academic Poster Presentation Series</w:t>
      </w:r>
    </w:p>
    <w:p>
      <w:r>
        <w:pict>
          <v:rect style="width:0;height:1.5pt" o:hralign="center" o:hrstd="t" o:hr="t"/>
        </w:pict>
      </w:r>
    </w:p>
    <w:bookmarkStart w:id="20" w:name="introduction-and-context"/>
    <w:p>
      <w:pPr>
        <w:pStyle w:val="Heading2"/>
      </w:pPr>
      <w:r>
        <w:t xml:space="preserve">1. Introduction and Context</w:t>
      </w:r>
    </w:p>
    <w:p>
      <w:pPr>
        <w:pStyle w:val="FirstParagraph"/>
      </w:pPr>
      <w:r>
        <w:t xml:space="preserve">Kuwait City, the bustling capital of the State of Kuwait, represents a unique intersection of rapid modernization, deep-rooted tribal traditions, and progressive social policies. As one of the most cosmopolitan cities in the Middle East, it serves as a microcosm for broader Gulf societal shifts. Within this dynamic urban landscape, the profession of</w:t>
      </w:r>
      <w:r>
        <w:t xml:space="preserve"> </w:t>
      </w:r>
      <w:r>
        <w:rPr>
          <w:bCs/>
          <w:b/>
        </w:rPr>
        <w:t xml:space="preserve">Social Worker</w:t>
      </w:r>
      <w:r>
        <w:t xml:space="preserve"> </w:t>
      </w:r>
      <w:r>
        <w:t xml:space="preserve">has undergone significant transformation over the last two decades.</w:t>
      </w:r>
    </w:p>
    <w:p>
      <w:pPr>
        <w:pStyle w:val="BodyText"/>
      </w:pPr>
      <w:r>
        <w:t xml:space="preserve">This poster presentation aims to explore how</w:t>
      </w:r>
      <w:r>
        <w:t xml:space="preserve"> </w:t>
      </w:r>
      <w:r>
        <w:rPr>
          <w:bCs/>
          <w:b/>
        </w:rPr>
        <w:t xml:space="preserve">Social Workers</w:t>
      </w:r>
      <w:r>
        <w:t xml:space="preserve"> </w:t>
      </w:r>
      <w:r>
        <w:t xml:space="preserve">in Kuwait City operate at the nexus of government policy and grassroots community needs. Unlike Western models that often prioritize individualistic case management, social work in this region is heavily influenced by familial collectivism and religious obligations. Understanding the specific role of the</w:t>
      </w:r>
      <w:r>
        <w:t xml:space="preserve"> </w:t>
      </w:r>
      <w:r>
        <w:rPr>
          <w:bCs/>
          <w:b/>
        </w:rPr>
        <w:t xml:space="preserve">Social Worker</w:t>
      </w:r>
      <w:r>
        <w:t xml:space="preserve"> </w:t>
      </w:r>
      <w:r>
        <w:t xml:space="preserve">within</w:t>
      </w:r>
      <w:r>
        <w:t xml:space="preserve"> </w:t>
      </w:r>
      <w:r>
        <w:rPr>
          <w:bCs/>
          <w:b/>
        </w:rPr>
        <w:t xml:space="preserve">Kuwait City</w:t>
      </w:r>
      <w:r>
        <w:t xml:space="preserve"> </w:t>
      </w:r>
      <w:r>
        <w:t xml:space="preserve">requires an analysis of legal frameworks, demographic changes, and the rising complexity of urban social problems.</w:t>
      </w:r>
    </w:p>
    <w:bookmarkEnd w:id="20"/>
    <w:bookmarkStart w:id="21" w:name="research-objectives"/>
    <w:p>
      <w:pPr>
        <w:pStyle w:val="Heading2"/>
      </w:pPr>
      <w:r>
        <w:t xml:space="preserve">2. Research Objectives</w:t>
      </w:r>
    </w:p>
    <w:p>
      <w:pPr>
        <w:numPr>
          <w:ilvl w:val="0"/>
          <w:numId w:val="1001"/>
        </w:numPr>
        <w:pStyle w:val="Compact"/>
      </w:pPr>
      <w:r>
        <w:rPr>
          <w:bCs/>
          <w:b/>
        </w:rPr>
        <w:t xml:space="preserve">Analyze the Role:</w:t>
      </w:r>
      <w:r>
        <w:t xml:space="preserve">Social Worker in public and private sectors within Kuwait City.</w:t>
      </w:r>
    </w:p>
    <w:p>
      <w:pPr>
        <w:numPr>
          <w:ilvl w:val="0"/>
          <w:numId w:val="1001"/>
        </w:numPr>
        <w:pStyle w:val="Compact"/>
      </w:pPr>
      <w:r>
        <w:rPr>
          <w:bCs/>
          <w:b/>
        </w:rPr>
        <w:t xml:space="preserve">Cultural Integration:</w:t>
      </w:r>
    </w:p>
    <w:p>
      <w:pPr>
        <w:numPr>
          <w:ilvl w:val="0"/>
          <w:numId w:val="1001"/>
        </w:numPr>
        <w:pStyle w:val="Compact"/>
      </w:pPr>
      <w:r>
        <w:t xml:space="preserve">Vision 2035: To assess the contribution of social workers to "New Kuwait" (Vision 2035), specifically in human capital development.</w:t>
      </w:r>
    </w:p>
    <w:bookmarkEnd w:id="21"/>
    <w:bookmarkStart w:id="22" w:name="methodological-approach"/>
    <w:p>
      <w:pPr>
        <w:pStyle w:val="Heading2"/>
      </w:pPr>
      <w:r>
        <w:t xml:space="preserve">3. Methodological Approach</w:t>
      </w:r>
    </w:p>
    <w:p>
      <w:pPr>
        <w:pStyle w:val="FirstParagraph"/>
      </w:pPr>
      <w:r>
        <w:t xml:space="preserve">This presentation is based on a mixed-methods analysis of social service delivery in Kuwait City. Data was synthesized from reports by the Ministry of Social Affairs and Labor (MSAL), interviews with practicing professionals in central districts such as Salmiya and Hawalli, and case studies regarding expatriate integration. The scope strictly limits its geographic focus to</w:t>
      </w:r>
      <w:r>
        <w:t xml:space="preserve"> </w:t>
      </w:r>
      <w:r>
        <w:rPr>
          <w:bCs/>
          <w:b/>
        </w:rPr>
        <w:t xml:space="preserve">Kuwait City</w:t>
      </w:r>
      <w:r>
        <w:t xml:space="preserve"> </w:t>
      </w:r>
      <w:r>
        <w:t xml:space="preserve">to ensure a dense, high-impact analysis of urban social dynamics.</w:t>
      </w:r>
    </w:p>
    <w:bookmarkEnd w:id="22"/>
    <w:bookmarkStart w:id="27" w:name="key-themes-in-social-work-practice"/>
    <w:p>
      <w:pPr>
        <w:pStyle w:val="Heading2"/>
      </w:pPr>
      <w:r>
        <w:t xml:space="preserve">4. Key Themes in Social Work Practice</w:t>
      </w:r>
    </w:p>
    <w:bookmarkStart w:id="23" w:name="a.-family-welfare-and-child-protection"/>
    <w:p>
      <w:pPr>
        <w:pStyle w:val="Heading3"/>
      </w:pPr>
      <w:r>
        <w:t xml:space="preserve">A. Family Welfare and Child Protection</w:t>
      </w:r>
    </w:p>
    <w:p>
      <w:pPr>
        <w:pStyle w:val="FirstParagraph"/>
      </w:pPr>
      <w:r>
        <w:t xml:space="preserve">The primary mandate of a</w:t>
      </w:r>
      <w:r>
        <w:t xml:space="preserve"> </w:t>
      </w:r>
      <w:r>
        <w:rPr>
          <w:bCs/>
          <w:b/>
        </w:rPr>
        <w:t xml:space="preserve">Social Worker</w:t>
      </w:r>
      <w:r>
        <w:t xml:space="preserve"> </w:t>
      </w:r>
      <w:r>
        <w:t xml:space="preserve">in Kuwait City revolves around the preservation of the family unit, which is considered the cornerstone of society. With increasing divorce rates and dual-income household structures, social workers in Kuwait City provide critical support systems for child protection.</w:t>
      </w:r>
    </w:p>
    <w:p>
      <w:pPr>
        <w:pStyle w:val="BodyText"/>
      </w:pPr>
      <w:r>
        <w:t xml:space="preserve">Unlike many Western jurisdictions where state intervention can be adversarial toward parents, social workers in</w:t>
      </w:r>
      <w:r>
        <w:t xml:space="preserve"> </w:t>
      </w:r>
      <w:r>
        <w:rPr>
          <w:bCs/>
          <w:b/>
        </w:rPr>
        <w:t xml:space="preserve">Kuwait City</w:t>
      </w:r>
      <w:r>
        <w:t xml:space="preserve"> </w:t>
      </w:r>
      <w:r>
        <w:t xml:space="preserve">often act as mediators between the state and the extended family network. They utilize cultural resources, such as tribal elders and religious leaders, to facilitate reconciliation rather than immediate separation.</w:t>
      </w:r>
    </w:p>
    <w:bookmarkEnd w:id="23"/>
    <w:bookmarkStart w:id="24" w:name="b.-mental-health-and-stigma-reduction"/>
    <w:p>
      <w:pPr>
        <w:pStyle w:val="Heading3"/>
      </w:pPr>
      <w:r>
        <w:t xml:space="preserve">B. Mental Health and Stigma Reduction</w:t>
      </w:r>
    </w:p>
    <w:p>
      <w:pPr>
        <w:pStyle w:val="FirstParagraph"/>
      </w:pPr>
      <w:r>
        <w:t xml:space="preserve">Mental health has historically been a taboo subject in the Arab world, but this is rapidly changing among the youth demographic in Kuwait City. Social workers are increasingly positioned as frontline responders to mental health crises.</w:t>
      </w:r>
    </w:p>
    <w:p>
      <w:pPr>
        <w:pStyle w:val="BodyText"/>
      </w:pPr>
      <w:r>
        <w:t xml:space="preserve">Institutions such as the Arabian Gulf University and various NGOs in Kuwait City are training social workers to integrate clinical psychology with social case management. The role of the</w:t>
      </w:r>
      <w:r>
        <w:t xml:space="preserve"> </w:t>
      </w:r>
      <w:r>
        <w:rPr>
          <w:bCs/>
          <w:b/>
        </w:rPr>
        <w:t xml:space="preserve">Social Worker</w:t>
      </w:r>
      <w:r>
        <w:t xml:space="preserve"> </w:t>
      </w:r>
      <w:r>
        <w:t xml:space="preserve">here involves destigmatizing therapy by framing it within a community care model, making it more acceptable within conservative segments of the population.</w:t>
      </w:r>
    </w:p>
    <w:bookmarkEnd w:id="24"/>
    <w:p>
      <w:pPr>
        <w:pStyle w:val="BodyText"/>
      </w:pPr>
      <w:r>
        <w:br/>
      </w:r>
      <w:r>
        <w:br/>
      </w:r>
    </w:p>
    <w:bookmarkStart w:id="25" w:name="c.-managing-demographic-diversity"/>
    <w:p>
      <w:pPr>
        <w:pStyle w:val="Heading3"/>
      </w:pPr>
      <w:r>
        <w:t xml:space="preserve">C. Managing Demographic Diversity</w:t>
      </w:r>
    </w:p>
    <w:p>
      <w:pPr>
        <w:pStyle w:val="FirstParagraph"/>
      </w:pPr>
      <w:r>
        <w:t xml:space="preserve">Kuwait City is home to a significant expatriate population, comprising nearly half of the total residents. While legal custody of nationals often restricts the direct practice of local social workers with foreigners, there is a growing demand for cross-cultural competence.</w:t>
      </w:r>
    </w:p>
    <w:p>
      <w:pPr>
        <w:pStyle w:val="BodyText"/>
      </w:pPr>
      <w:r>
        <w:t xml:space="preserve">Social workers in Kuwait City increasingly collaborate with international NGOs to support migrant workers. This involves addressing issues such as labor rights awareness, housing conditions, and social isolation. The</w:t>
      </w:r>
      <w:r>
        <w:t xml:space="preserve"> </w:t>
      </w:r>
      <w:r>
        <w:rPr>
          <w:bCs/>
          <w:b/>
        </w:rPr>
        <w:t xml:space="preserve">Social Worker</w:t>
      </w:r>
      <w:r>
        <w:t xml:space="preserve"> </w:t>
      </w:r>
      <w:r>
        <w:t xml:space="preserve">acts as a bridge between the local legal framework and the vulnerable expatriate communities.</w:t>
      </w:r>
    </w:p>
    <w:bookmarkEnd w:id="25"/>
    <w:bookmarkStart w:id="26" w:name="d.-e-services-and-modernization"/>
    <w:p>
      <w:pPr>
        <w:pStyle w:val="Heading3"/>
      </w:pPr>
      <w:r>
        <w:t xml:space="preserve">D. E-Services and Modernization</w:t>
      </w:r>
    </w:p>
    <w:p>
      <w:pPr>
        <w:pStyle w:val="FirstParagraph"/>
      </w:pPr>
      <w:r>
        <w:t xml:space="preserve">Kuwait City is aggressively pursuing digital transformation under its Vision 2035 framework. Social service delivery has moved online through platforms like the Ministry of Social Affairs' e-services.</w:t>
      </w:r>
    </w:p>
    <w:p>
      <w:pPr>
        <w:pStyle w:val="BodyText"/>
      </w:pPr>
      <w:r>
        <w:t xml:space="preserve">This shift presents a new challenge and opportunity for the</w:t>
      </w:r>
      <w:r>
        <w:t xml:space="preserve"> </w:t>
      </w:r>
      <w:r>
        <w:rPr>
          <w:bCs/>
          <w:b/>
        </w:rPr>
        <w:t xml:space="preserve">Social Worker</w:t>
      </w:r>
      <w:r>
        <w:t xml:space="preserve">. Professionals must now be digitally literate to manage cases that may begin with an online application but require complex, face-to-face intervention in the field. The efficiency of social services in Kuwait City is directly tied to this technological integration.</w:t>
      </w:r>
    </w:p>
    <w:bookmarkEnd w:id="26"/>
    <w:bookmarkEnd w:id="27"/>
    <w:bookmarkStart w:id="28" w:name="current-challenges-facing-social-workers"/>
    <w:p>
      <w:pPr>
        <w:pStyle w:val="Heading2"/>
      </w:pPr>
      <w:r>
        <w:t xml:space="preserve">5. Current Challenges Facing Social Workers</w:t>
      </w:r>
    </w:p>
    <w:p>
      <w:pPr>
        <w:pStyle w:val="FirstParagraph"/>
      </w:pPr>
      <w:r>
        <w:t xml:space="preserve">The practice of social work in Kuwait City, while rewarding, faces distinct hurdles:</w:t>
      </w:r>
    </w:p>
    <w:p>
      <w:pPr>
        <w:numPr>
          <w:ilvl w:val="0"/>
          <w:numId w:val="1002"/>
        </w:numPr>
        <w:pStyle w:val="Compact"/>
      </w:pPr>
      <w:r>
        <w:rPr>
          <w:bCs/>
          <w:b/>
        </w:rPr>
        <w:t xml:space="preserve">Bureaucratic Hurdles:</w:t>
      </w:r>
      <w:r>
        <w:t xml:space="preserve"> </w:t>
      </w:r>
      <w:r>
        <w:t xml:space="preserve">Navigating the extensive paperwork required by government agencies can detract from direct client interaction time.</w:t>
      </w:r>
    </w:p>
    <w:p>
      <w:pPr>
        <w:numPr>
          <w:ilvl w:val="0"/>
          <w:numId w:val="1002"/>
        </w:numPr>
        <w:pStyle w:val="Compact"/>
      </w:pPr>
      <w:r>
        <w:rPr>
          <w:bCs/>
          <w:b/>
        </w:rPr>
        <w:t xml:space="preserve">Limited Private Sector Infrastructure:</w:t>
      </w:r>
      <w:r>
        <w:t xml:space="preserve"> </w:t>
      </w:r>
      <w:r>
        <w:t xml:space="preserve">Unlike in Europe or North America, private social work agencies are limited. Most</w:t>
      </w:r>
      <w:r>
        <w:t xml:space="preserve"> </w:t>
      </w:r>
      <w:r>
        <w:rPr>
          <w:bCs/>
          <w:b/>
        </w:rPr>
        <w:t xml:space="preserve">Social Workers</w:t>
      </w:r>
      <w:r>
        <w:t xml:space="preserve"> </w:t>
      </w:r>
      <w:r>
        <w:t xml:space="preserve">in Kuwait City are employed by state entities, which can limit professional autonomy and innovation.</w:t>
      </w:r>
    </w:p>
    <w:p>
      <w:pPr>
        <w:numPr>
          <w:ilvl w:val="0"/>
          <w:numId w:val="1002"/>
        </w:numPr>
        <w:pStyle w:val="Compact"/>
      </w:pPr>
      <w:r>
        <w:rPr>
          <w:bCs/>
          <w:b/>
        </w:rPr>
        <w:t xml:space="preserve">Cultural Nuances vs. Clinical Science:</w:t>
      </w:r>
      <w:r>
        <w:t xml:space="preserve"> </w:t>
      </w:r>
      <w:r>
        <w:t xml:space="preserve">Balancing evidence-based clinical practices with traditional Islamic and tribal customs requires high emotional intelligence and cultural sensitivity from the social worker.</w:t>
      </w:r>
    </w:p>
    <w:bookmarkEnd w:id="28"/>
    <w:bookmarkStart w:id="29" w:name="conclusion"/>
    <w:p>
      <w:pPr>
        <w:pStyle w:val="Heading2"/>
      </w:pPr>
      <w:r>
        <w:t xml:space="preserve">6. Conclusion</w:t>
      </w:r>
    </w:p>
    <w:p>
      <w:pPr>
        <w:pStyle w:val="FirstParagraph"/>
      </w:pPr>
      <w:r>
        <w:t xml:space="preserve">The role of the</w:t>
      </w:r>
      <w:r>
        <w:t xml:space="preserve"> </w:t>
      </w:r>
      <w:r>
        <w:rPr>
          <w:bCs/>
          <w:b/>
        </w:rPr>
        <w:t xml:space="preserve">Social Worker</w:t>
      </w:r>
      <w:r>
        <w:t xml:space="preserve"> </w:t>
      </w:r>
      <w:r>
        <w:t xml:space="preserve">in Kuwait City is pivotal yet complex. They are not merely case managers but also cultural intermediaries, policy implementers, and advocates for the vulnerable. As Kuwait City continues to modernize while retaining its traditional values, social workers must adapt their methodologies.</w:t>
      </w:r>
    </w:p>
    <w:p>
      <w:pPr>
        <w:pStyle w:val="BodyText"/>
      </w:pPr>
      <w:r>
        <w:t xml:space="preserve">The future of social work in this region lies in a hybrid model: one that embraces the technological advancements of Vision 2035 while respecting the communal fabric that defines life in Kuwait City. Strengthening the professional identity, regulatory frameworks, and specialized training for</w:t>
      </w:r>
      <w:r>
        <w:t xml:space="preserve"> </w:t>
      </w:r>
      <w:r>
        <w:rPr>
          <w:bCs/>
          <w:b/>
        </w:rPr>
        <w:t xml:space="preserve">Social Workers</w:t>
      </w:r>
      <w:r>
        <w:t xml:space="preserve"> </w:t>
      </w:r>
      <w:r>
        <w:t xml:space="preserve">will be essential to meeting the evolving needs of this vibrant urban society.</w:t>
      </w:r>
    </w:p>
    <w:bookmarkEnd w:id="29"/>
    <w:bookmarkStart w:id="30" w:name="references-acknowledgments"/>
    <w:p>
      <w:pPr>
        <w:pStyle w:val="Heading2"/>
      </w:pPr>
      <w:r>
        <w:t xml:space="preserve">References &amp; Acknowledgments</w:t>
      </w:r>
    </w:p>
    <w:p>
      <w:pPr>
        <w:numPr>
          <w:ilvl w:val="0"/>
          <w:numId w:val="1003"/>
        </w:numPr>
        <w:pStyle w:val="Compact"/>
      </w:pPr>
      <w:r>
        <w:t xml:space="preserve">Kuwait Ministry of Social Affairs and Labor (MSAL) Annual Reports.</w:t>
      </w:r>
    </w:p>
    <w:p>
      <w:pPr>
        <w:numPr>
          <w:ilvl w:val="0"/>
          <w:numId w:val="1003"/>
        </w:numPr>
        <w:pStyle w:val="Compact"/>
      </w:pPr>
      <w:r>
        <w:t xml:space="preserve">Journeys in Community Health and Social Work in the Gulf Region (Recent Academic Journals).</w:t>
      </w:r>
    </w:p>
    <w:p>
      <w:pPr>
        <w:numPr>
          <w:ilvl w:val="0"/>
          <w:numId w:val="1003"/>
        </w:numPr>
        <w:pStyle w:val="Compact"/>
      </w:pPr>
      <w:r>
        <w:rPr>
          <w:bCs/>
          <w:b/>
        </w:rPr>
        <w:t xml:space="preserve">Acknowledgment:</w:t>
      </w:r>
      <w:r>
        <w:t xml:space="preserve"> </w:t>
      </w:r>
      <w:r>
        <w:t xml:space="preserve">We extend our gratitude to the social service centers across Kuwait City for their cooperation during this study.</w:t>
      </w:r>
    </w:p>
    <w:p>
      <w:pPr>
        <w:pStyle w:val="FirstParagraph"/>
      </w:pPr>
      <w:r>
        <w:rPr>
          <w:bCs/>
          <w:b/>
        </w:rPr>
        <w:t xml:space="preserve">Contact for Further Inquiry</w:t>
      </w:r>
      <w:r>
        <w:br/>
      </w:r>
      <w:r>
        <w:t xml:space="preserve">Email: research@socialwork-kw.edu.kw</w:t>
      </w:r>
      <w:r>
        <w:br/>
      </w:r>
      <w:r>
        <w:t xml:space="preserve">Website: www.social-work-kuwait-city-academic.org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Social Work in Kuwait City</dc:title>
  <dc:creator/>
  <dc:language>en</dc:language>
  <cp:keywords/>
  <dcterms:created xsi:type="dcterms:W3CDTF">2026-07-29T14:49:34Z</dcterms:created>
  <dcterms:modified xsi:type="dcterms:W3CDTF">2026-07-29T14:49:34Z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