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Manila</w:t>
      </w:r>
    </w:p>
    <w:bookmarkStart w:id="20" w:name="X953fa39f42960b38a4a33678d011dcdb07a7dcc"/>
    <w:p>
      <w:pPr>
        <w:pStyle w:val="Heading1"/>
      </w:pPr>
      <w:r>
        <w:t xml:space="preserve">Social Work Practice in the Philippines Manila Context</w:t>
      </w:r>
    </w:p>
    <w:p>
      <w:pPr>
        <w:pStyle w:val="FirstParagraph"/>
      </w:pPr>
      <w:r>
        <w:t xml:space="preserve">Navigating Urban Challenges through Policy, Community Engagement, and Clinical Intervention</w:t>
      </w:r>
      <w:r>
        <w:br/>
      </w:r>
      <w:r>
        <w:br/>
      </w:r>
      <w:r>
        <w:t xml:space="preserve">Presentation by [Name/Title]</w:t>
      </w:r>
      <w:r>
        <w:br/>
      </w:r>
      <w:r>
        <w:t xml:space="preserve">Affiliation: University of the Philippines School of Social Work and Community Development (or similar)</w:t>
      </w:r>
    </w:p>
    <w:bookmarkEnd w:id="20"/>
    <w:bookmarkStart w:id="21" w:name="abstract"/>
    <w:p>
      <w:pPr>
        <w:pStyle w:val="Heading2"/>
      </w:pPr>
      <w:r>
        <w:t xml:space="preserve">Abstract</w:t>
      </w:r>
    </w:p>
    <w:p>
      <w:pPr>
        <w:pStyle w:val="FirstParagraph"/>
      </w:pPr>
      <w:r>
        <w:t xml:space="preserve">The role of a Social Worker in the Philippines Manila is unique due to the dense urbanization, rapid economic disparity, and high exposure to natural disasters inherent in the capital region. This poster presentation explores how Social Workers operate within this complex metropolitan landscape. It emphasizes that effective practice requires more than standard clinical skills; it demands a robust understanding of local</w:t>
      </w:r>
      <w:r>
        <w:t xml:space="preserve"> </w:t>
      </w:r>
      <w:r>
        <w:rPr>
          <w:bCs/>
          <w:b/>
        </w:rPr>
        <w:t xml:space="preserve">Philippines Manila</w:t>
      </w:r>
      <w:r>
        <w:t xml:space="preserve"> </w:t>
      </w:r>
      <w:r>
        <w:t xml:space="preserve">socio-political dynamics. The document outlines key challenges, including urban poverty, internal migration, and disaster resilience.</w:t>
      </w:r>
    </w:p>
    <w:p>
      <w:pPr>
        <w:pStyle w:val="BodyText"/>
      </w:pPr>
      <w:r>
        <w:t xml:space="preserve">We argue that the modern Social Worker in this region must act as a case manager, community organizer, and policy advocate simultaneously. By integrating international social work standards with indigenous Filipino practices such as "bayanihan" (communal unity), we propose a framework for sustainable intervention in Manila’s informal settlements and institutional settings.</w:t>
      </w:r>
    </w:p>
    <w:bookmarkEnd w:id="21"/>
    <w:bookmarkStart w:id="22" w:name="X4de563dda5a7b0ba95d39b78a7335b35b927c59"/>
    <w:p>
      <w:pPr>
        <w:pStyle w:val="Heading2"/>
      </w:pPr>
      <w:r>
        <w:t xml:space="preserve">Contextualizing Social Work in Philippines Manila</w:t>
      </w:r>
    </w:p>
    <w:p>
      <w:pPr>
        <w:pStyle w:val="FirstParagraph"/>
      </w:pPr>
      <w:r>
        <w:rPr>
          <w:bCs/>
          <w:b/>
        </w:rPr>
        <w:t xml:space="preserve">The Metropolis as a Laboratory:</w:t>
      </w:r>
    </w:p>
    <w:p>
      <w:pPr>
        <w:pStyle w:val="BodyText"/>
      </w:pPr>
      <w:r>
        <w:t xml:space="preserve">Metro Manila, or the National Capital Region (NCR), serves as the epicenter of governance, economy, and education in the Philippines. However, it also hosts some of the world’s most concentrated pockets of urban poverty. For any Social Worker operating here, "place matters." The density creates a unique set of stressors: traffic congestion affecting service delivery times; overcrowding facilitating public health crises; and limited green spaces impacting mental well-being.</w:t>
      </w:r>
    </w:p>
    <w:p>
      <w:pPr>
        <w:pStyle w:val="BodyText"/>
      </w:pPr>
      <w:r>
        <w:rPr>
          <w:bCs/>
          <w:b/>
        </w:rPr>
        <w:t xml:space="preserve">Key Statistic:</w:t>
      </w:r>
      <w:r>
        <w:t xml:space="preserve"> </w:t>
      </w:r>
      <w:r>
        <w:t xml:space="preserve">A significant portion of Manila’s population resides in informal settler families (ISFs). Social Workers often serve as the primary interface between these marginalized communities and government disaster risk reduction programs.</w:t>
      </w:r>
    </w:p>
    <w:p>
      <w:pPr>
        <w:pStyle w:val="BodyText"/>
      </w:pPr>
      <w:r>
        <w:rPr>
          <w:bCs/>
          <w:b/>
        </w:rPr>
        <w:t xml:space="preserve">The Legal Framework:</w:t>
      </w:r>
    </w:p>
    <w:p>
      <w:pPr>
        <w:pStyle w:val="BodyText"/>
      </w:pPr>
      <w:r>
        <w:t xml:space="preserve">All practitioners must adhere to the</w:t>
      </w:r>
      <w:r>
        <w:t xml:space="preserve"> </w:t>
      </w:r>
      <w:r>
        <w:rPr>
          <w:iCs/>
          <w:i/>
        </w:rPr>
        <w:t xml:space="preserve">Republic Act No. 10802</w:t>
      </w:r>
      <w:r>
        <w:t xml:space="preserve">, also known as the "Philippine Social Work Act of 2015." This legislation mandates that only accredited professionals can practice, ensuring ethical standards in a region where informal care providers are common. In Manila specifically, this law intersects with Local Government Unit (LGU) ordinances regarding housing and urban development.</w:t>
      </w:r>
    </w:p>
    <w:bookmarkEnd w:id="22"/>
    <w:bookmarkStart w:id="23" w:name="major-challenges"/>
    <w:p>
      <w:pPr>
        <w:pStyle w:val="Heading2"/>
      </w:pPr>
      <w:r>
        <w:t xml:space="preserve">Major Challenges</w:t>
      </w:r>
    </w:p>
    <w:p>
      <w:pPr>
        <w:numPr>
          <w:ilvl w:val="0"/>
          <w:numId w:val="1001"/>
        </w:numPr>
        <w:pStyle w:val="Compact"/>
      </w:pPr>
      <w:r>
        <w:rPr>
          <w:bCs/>
          <w:b/>
        </w:rPr>
        <w:t xml:space="preserve">Rapid Urbanization &amp; Migration:</w:t>
      </w:r>
      <w:r>
        <w:br/>
      </w:r>
      <w:r>
        <w:t xml:space="preserve">Social Workers face the influx of internal migrants from provinces seeking livelihoods. This creates strain on housing, leading to the proliferation of slums along riverbanks and railways, requiring immediate risk assessment and relocation counseling.</w:t>
      </w:r>
    </w:p>
    <w:p>
      <w:pPr>
        <w:numPr>
          <w:ilvl w:val="0"/>
          <w:numId w:val="1001"/>
        </w:numPr>
        <w:pStyle w:val="Compact"/>
      </w:pPr>
      <w:r>
        <w:rPr>
          <w:bCs/>
          <w:b/>
        </w:rPr>
        <w:t xml:space="preserve">Disaster Vulnerability:</w:t>
      </w:r>
      <w:r>
        <w:br/>
      </w:r>
      <w:r>
        <w:t xml:space="preserve">Metro Manila lies along earthquake fault lines and is prone to typhoons. The Social Worker plays a critical role in "Build Back Better" initiatives, ensuring that rehabilitation efforts include psychosocial support for survivors of trauma.</w:t>
      </w:r>
    </w:p>
    <w:p>
      <w:pPr>
        <w:numPr>
          <w:ilvl w:val="0"/>
          <w:numId w:val="1001"/>
        </w:numPr>
        <w:pStyle w:val="Compact"/>
      </w:pPr>
      <w:r>
        <w:rPr>
          <w:bCs/>
          <w:b/>
        </w:rPr>
        <w:t xml:space="preserve">Bureaucratic Hurdles:</w:t>
      </w:r>
      <w:r>
        <w:br/>
      </w:r>
      <w:r>
        <w:t xml:space="preserve">Navigating the government system in Manila can be complex. Case managers must facilitate access to indigency cards (Indigent ID), PhilHealth benefits, and pension services for elderly clients who lack documentation.</w:t>
      </w:r>
    </w:p>
    <w:bookmarkEnd w:id="23"/>
    <w:bookmarkStart w:id="24" w:name="cultural-competencies"/>
    <w:p>
      <w:pPr>
        <w:pStyle w:val="Heading2"/>
      </w:pPr>
      <w:r>
        <w:t xml:space="preserve">Cultural Competencies</w:t>
      </w:r>
    </w:p>
    <w:p>
      <w:pPr>
        <w:pStyle w:val="FirstParagraph"/>
      </w:pPr>
      <w:r>
        <w:t xml:space="preserve">To be effective, the Social Worker must understand Filipino cultural nuances:</w:t>
      </w:r>
    </w:p>
    <w:p>
      <w:pPr>
        <w:pStyle w:val="BodyText"/>
      </w:pPr>
      <w:r>
        <w:rPr>
          <w:bCs/>
          <w:b/>
        </w:rPr>
        <w:t xml:space="preserve">Filipino Value</w:t>
      </w:r>
    </w:p>
    <w:bookmarkEnd w:id="24"/>
    <w:p>
      <w:pPr>
        <w:pStyle w:val="BodyText"/>
      </w:pPr>
      <w:r>
        <w:rPr>
          <w:bCs/>
          <w:b/>
        </w:rPr>
        <w:t xml:space="preserve">Social Work Application</w:t>
      </w:r>
    </w:p>
    <w:p>
      <w:pPr>
        <w:pStyle w:val="BodyText"/>
      </w:pPr>
      <w:r>
        <w:t xml:space="preserve">Pakikisama (Companionship)</w:t>
      </w:r>
    </w:p>
    <w:p>
      <w:pPr>
        <w:pStyle w:val="BodyText"/>
      </w:pPr>
      <w:r>
        <w:t xml:space="preserve">Built trust; social workers become part of the community network rather than outsiders.</w:t>
      </w:r>
    </w:p>
    <w:p>
      <w:pPr>
        <w:pStyle w:val="BodyText"/>
      </w:pPr>
      <w:r>
        <w:t xml:space="preserve">Mutuo (Reciprocity)</w:t>
      </w:r>
    </w:p>
    <w:p>
      <w:pPr>
        <w:pStyle w:val="BodyText"/>
      </w:pPr>
      <w:r>
        <w:t xml:space="preserve">Ethical boundary management is crucial to avoid exploitation while maintaining professional relationships.</w:t>
      </w:r>
    </w:p>
    <w:p>
      <w:pPr>
        <w:pStyle w:val="BodyText"/>
      </w:pPr>
      <w:r>
        <w:t xml:space="preserve">Familiocentricity</w:t>
      </w:r>
    </w:p>
    <w:p>
      <w:pPr>
        <w:pStyle w:val="BodyText"/>
      </w:pPr>
      <w:r>
        <w:t xml:space="preserve">Counseling must include extended family members, not just the identified patient/client.</w:t>
      </w:r>
    </w:p>
    <w:bookmarkStart w:id="25" w:name="intervention-models-in-manila"/>
    <w:p>
      <w:pPr>
        <w:pStyle w:val="Heading2"/>
      </w:pPr>
      <w:r>
        <w:t xml:space="preserve">Intervention Models in Manila</w:t>
      </w:r>
    </w:p>
    <w:p>
      <w:pPr>
        <w:pStyle w:val="FirstParagraph"/>
      </w:pPr>
      <w:r>
        <w:rPr>
          <w:bCs/>
          <w:b/>
        </w:rPr>
        <w:t xml:space="preserve">Municipal Social Welfare and Development Office (MSWDO):</w:t>
      </w:r>
    </w:p>
    <w:p>
      <w:pPr>
        <w:pStyle w:val="BodyText"/>
      </w:pPr>
      <w:r>
        <w:t xml:space="preserve">The primary site of employment for many Social Workers. Here, the focus is on macro-level advocacy. Strategies include:</w:t>
      </w:r>
    </w:p>
    <w:p>
      <w:pPr>
        <w:numPr>
          <w:ilvl w:val="0"/>
          <w:numId w:val="1002"/>
        </w:numPr>
        <w:pStyle w:val="Compact"/>
      </w:pPr>
      <w:r>
        <w:t xml:space="preserve">Lobbying for the implementation of the "People's Security Program" (PSP).</w:t>
      </w:r>
    </w:p>
    <w:p>
      <w:pPr>
        <w:numPr>
          <w:ilvl w:val="0"/>
          <w:numId w:val="1002"/>
        </w:numPr>
        <w:pStyle w:val="Compact"/>
      </w:pPr>
      <w:r>
        <w:t xml:space="preserve">Mobilizing communities to form Community Disaster Risk Reduction Management Committees (CDRRMCs).</w:t>
      </w:r>
    </w:p>
    <w:p>
      <w:pPr>
        <w:numPr>
          <w:ilvl w:val="0"/>
          <w:numId w:val="1002"/>
        </w:numPr>
        <w:pStyle w:val="Compact"/>
      </w:pPr>
      <w:r>
        <w:t xml:space="preserve">Data collection to inform city planners about informal settlement locations.</w:t>
      </w:r>
    </w:p>
    <w:p>
      <w:pPr>
        <w:pStyle w:val="FirstParagraph"/>
      </w:pPr>
      <w:r>
        <w:rPr>
          <w:bCs/>
          <w:b/>
        </w:rPr>
        <w:t xml:space="preserve">Hospital and Clinical Settings:</w:t>
      </w:r>
    </w:p>
    <w:p>
      <w:pPr>
        <w:pStyle w:val="BodyText"/>
      </w:pPr>
      <w:r>
        <w:t xml:space="preserve">In major Manila hospitals (e.g., PGH, St. Luke's), Medical Social Workers handle discharge planning for patients who cannot afford care. They bridge the gap between clinical treatment and social reintegration.</w:t>
      </w:r>
    </w:p>
    <w:p>
      <w:pPr>
        <w:numPr>
          <w:ilvl w:val="0"/>
          <w:numId w:val="1003"/>
        </w:numPr>
        <w:pStyle w:val="Compact"/>
      </w:pPr>
      <w:r>
        <w:t xml:space="preserve">Crisis Intervention: Providing immediate emotional support to victims of crime, accidents, or domestic violence.</w:t>
      </w:r>
    </w:p>
    <w:p>
      <w:pPr>
        <w:numPr>
          <w:ilvl w:val="0"/>
          <w:numId w:val="1003"/>
        </w:numPr>
        <w:pStyle w:val="Compact"/>
      </w:pPr>
      <w:r>
        <w:t xml:space="preserve">Economic Assessment: Evaluating household income to determine eligibility for financial aid or government health insurance subsidies (PhilHealth).</w:t>
      </w:r>
    </w:p>
    <w:p>
      <w:pPr>
        <w:pStyle w:val="FirstParagraph"/>
      </w:pPr>
      <w:r>
        <w:rPr>
          <w:bCs/>
          <w:b/>
        </w:rPr>
        <w:t xml:space="preserve">School-Based Social Work:</w:t>
      </w:r>
    </w:p>
    <w:p>
      <w:pPr>
        <w:pStyle w:val="BodyText"/>
      </w:pPr>
      <w:r>
        <w:t xml:space="preserve">School social workers in Manila public schools address issues related to child protection, such as Child-in-Conflict-with-the-Law (CICL), school dropouts due to poverty, and bullying. They serve as liaisons between parents, teachers, and the Department of Social Welfare and Development (DSWD).</w:t>
      </w:r>
    </w:p>
    <w:bookmarkEnd w:id="25"/>
    <w:bookmarkStart w:id="26" w:name="case-study-riverbank-rehabilitation"/>
    <w:p>
      <w:pPr>
        <w:pStyle w:val="Heading2"/>
      </w:pPr>
      <w:r>
        <w:t xml:space="preserve">Case Study: Riverbank Rehabilitation</w:t>
      </w:r>
    </w:p>
    <w:p>
      <w:pPr>
        <w:pStyle w:val="FirstParagraph"/>
      </w:pPr>
      <w:r>
        <w:rPr>
          <w:iCs/>
          <w:i/>
        </w:rPr>
        <w:t xml:space="preserve">A typical scenario in Manila involves families living along the Pasig River. When the government initiates a river rehabilitation project, these families face displacement.</w:t>
      </w:r>
    </w:p>
    <w:p>
      <w:pPr>
        <w:pStyle w:val="BodyText"/>
      </w:pPr>
      <w:r>
        <w:t xml:space="preserve">The Social Worker’s role is threefold:</w:t>
      </w:r>
    </w:p>
    <w:p>
      <w:pPr>
        <w:numPr>
          <w:ilvl w:val="0"/>
          <w:numId w:val="1004"/>
        </w:numPr>
        <w:pStyle w:val="Compact"/>
      </w:pPr>
      <w:r>
        <w:rPr>
          <w:bCs/>
          <w:b/>
        </w:rPr>
        <w:t xml:space="preserve">Advocacy:</w:t>
      </w:r>
      <w:r>
        <w:t xml:space="preserve"> </w:t>
      </w:r>
      <w:r>
        <w:t xml:space="preserve">Ensuring the affected community has a seat at the negotiation table.</w:t>
      </w:r>
    </w:p>
    <w:p>
      <w:pPr>
        <w:numPr>
          <w:ilvl w:val="0"/>
          <w:numId w:val="1004"/>
        </w:numPr>
        <w:pStyle w:val="Compact"/>
      </w:pPr>
      <w:r>
        <w:rPr>
          <w:bCs/>
          <w:b/>
        </w:rPr>
        <w:t xml:space="preserve">Counseling:</w:t>
      </w:r>
      <w:r>
        <w:t xml:space="preserve"> </w:t>
      </w:r>
      <w:r>
        <w:t xml:space="preserve">Helping families cope with the grief of losing their home and community ties.</w:t>
      </w:r>
    </w:p>
    <w:p>
      <w:pPr>
        <w:numPr>
          <w:ilvl w:val="0"/>
          <w:numId w:val="1004"/>
        </w:numPr>
        <w:pStyle w:val="Compact"/>
      </w:pPr>
      <w:r>
        <w:rPr>
          <w:bCs/>
          <w:b/>
        </w:rPr>
        <w:t xml:space="preserve">Livelihood Development:</w:t>
      </w:r>
    </w:p>
    <w:bookmarkEnd w:id="26"/>
    <w:bookmarkStart w:id="27" w:name="conclusion"/>
    <w:p>
      <w:pPr>
        <w:pStyle w:val="Heading2"/>
      </w:pPr>
      <w:r>
        <w:t xml:space="preserve">Conclusion</w:t>
      </w:r>
    </w:p>
    <w:p>
      <w:pPr>
        <w:pStyle w:val="FirstParagraph"/>
      </w:pPr>
      <w:r>
        <w:t xml:space="preserve">The role of the Social Worker in the Philippines Manila is pivotal. It is not merely a job of administering aid but involves complex socio-political navigation. As urbanization continues, there is a growing need for specialized training in disaster resilience, clinical psychology (for trauma), and policy advocacy.</w:t>
      </w:r>
    </w:p>
    <w:p>
      <w:pPr>
        <w:pStyle w:val="BodyText"/>
      </w:pPr>
      <w:r>
        <w:t xml:space="preserve">For academic institutions and practitioners alike, focusing on the specific nuances of Manila ensures that interventions are culturally appropriate and practically viable. By empowering local communities through "Bayanihan" principles supported by professional social work methods, we can mitigate the adverse effects of urban poverty in the capital region.</w:t>
      </w:r>
    </w:p>
    <w:bookmarkEnd w:id="27"/>
    <w:bookmarkStart w:id="28" w:name="references"/>
    <w:p>
      <w:pPr>
        <w:pStyle w:val="Heading3"/>
      </w:pPr>
      <w:r>
        <w:t xml:space="preserve">References</w:t>
      </w:r>
    </w:p>
    <w:p>
      <w:pPr>
        <w:numPr>
          <w:ilvl w:val="0"/>
          <w:numId w:val="1005"/>
        </w:numPr>
        <w:pStyle w:val="Compact"/>
      </w:pPr>
      <w:r>
        <w:t xml:space="preserve">Republic Act No. 10802 (The Philippine Social Work Act of 2015).</w:t>
      </w:r>
    </w:p>
    <w:p>
      <w:pPr>
        <w:numPr>
          <w:ilvl w:val="0"/>
          <w:numId w:val="1005"/>
        </w:numPr>
        <w:pStyle w:val="Compact"/>
      </w:pPr>
      <w:r>
        <w:t xml:space="preserve">National Economic and Development Authority (NEDA). (2023). "Metro Manila Socio-Economic Indicators."</w:t>
      </w:r>
    </w:p>
    <w:p>
      <w:pPr>
        <w:numPr>
          <w:ilvl w:val="0"/>
          <w:numId w:val="1005"/>
        </w:numPr>
        <w:pStyle w:val="Compact"/>
      </w:pPr>
      <w:r>
        <w:t xml:space="preserve">Dalisan, C. D., et al. "Urban Poverty in the Philippines: A Case Study of Metro Manila." Asian Journal of Social Work Policy.</w:t>
      </w:r>
    </w:p>
    <w:p>
      <w:pPr>
        <w:numPr>
          <w:ilvl w:val="0"/>
          <w:numId w:val="1005"/>
        </w:numPr>
        <w:pStyle w:val="Compact"/>
      </w:pPr>
      <w:r>
        <w:t xml:space="preserve">Institute of Social Work and Community Development (ISWCD), University of the Philippines.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Manila</dc:title>
  <dc:creator/>
  <dc:language>en</dc:language>
  <cp:keywords/>
  <dcterms:created xsi:type="dcterms:W3CDTF">2026-07-29T08:55:10Z</dcterms:created>
  <dcterms:modified xsi:type="dcterms:W3CDTF">2026-07-29T08:55:10Z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