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949c22050e3af76f9db0e0667031a73ecd81aa6"/>
    <w:p>
      <w:pPr>
        <w:pStyle w:val="Heading1"/>
      </w:pPr>
      <w:r>
        <w:t xml:space="preserve">Evolution of Social Work Practice in Russia: A Case Study of Saint Petersburg</w:t>
      </w:r>
    </w:p>
    <w:p>
      <w:pPr>
        <w:pStyle w:val="FirstParagraph"/>
      </w:pPr>
      <w:r>
        <w:rPr>
          <w:bCs/>
          <w:b/>
        </w:rPr>
        <w:t xml:space="preserve">Author:</w:t>
      </w:r>
      <w:r>
        <w:t xml:space="preserve"> </w:t>
      </w:r>
      <w:r>
        <w:t xml:space="preserve">[Your Name/Researcher ID]</w:t>
      </w:r>
    </w:p>
    <w:p>
      <w:pPr>
        <w:pStyle w:val="BodyText"/>
      </w:pPr>
      <w:r>
        <w:rPr>
          <w:bCs/>
          <w:b/>
        </w:rPr>
        <w:t xml:space="preserve">Affiliation:</w:t>
      </w:r>
      <w:r>
        <w:t xml:space="preserve"> </w:t>
      </w:r>
      <w:r>
        <w:t xml:space="preserve">Department of Sociology and Social Work, [University Name], Saint Petersburg, Russia</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This Poster Presentation aims to explore the critical role of the Social Worker within the contemporary sociopolitical landscape of Russia, specifically focusing on Saint Petersburg. As a major cultural and historical hub, Saint Petersburg presents unique challenges and opportunities for social service delivery.</w:t>
      </w:r>
    </w:p>
    <w:p>
      <w:pPr>
        <w:pStyle w:val="BodyText"/>
      </w:pPr>
      <w:r>
        <w:rPr>
          <w:bCs/>
          <w:b/>
        </w:rPr>
        <w:t xml:space="preserve">Core Objective:</w:t>
      </w:r>
      <w:r>
        <w:t xml:space="preserve"> </w:t>
      </w:r>
      <w:r>
        <w:t xml:space="preserve">To analyze how the professional identity of the Social Worker has evolved from Soviet-era welfare provision to modern, client-centered practices in Russia's second-largest city.</w:t>
      </w:r>
    </w:p>
    <w:bookmarkEnd w:id="21"/>
    <w:bookmarkStart w:id="22" w:name="historical-context"/>
    <w:p>
      <w:pPr>
        <w:pStyle w:val="Heading2"/>
      </w:pPr>
      <w:r>
        <w:t xml:space="preserve">Historical Context</w:t>
      </w:r>
    </w:p>
    <w:p>
      <w:pPr>
        <w:pStyle w:val="FirstParagraph"/>
      </w:pPr>
      <w:r>
        <w:t xml:space="preserve">The trajectory of social work in Russia differs significantly from Western models. During the Soviet era, state welfare was universal but lacked personalized intervention. The term "Social Worker" did not exist as an independent profession; instead, administrative personnel managed social issues.</w:t>
      </w:r>
    </w:p>
    <w:p>
      <w:pPr>
        <w:numPr>
          <w:ilvl w:val="0"/>
          <w:numId w:val="1001"/>
        </w:numPr>
        <w:pStyle w:val="Compact"/>
      </w:pPr>
      <w:r>
        <w:rPr>
          <w:bCs/>
          <w:b/>
        </w:rPr>
        <w:t xml:space="preserve">Soviet Legacy:</w:t>
      </w:r>
      <w:r>
        <w:t xml:space="preserve"> </w:t>
      </w:r>
      <w:r>
        <w:t xml:space="preserve">Welfare was provided by the state directly through enterprises and housing committees.</w:t>
      </w:r>
    </w:p>
    <w:p>
      <w:pPr>
        <w:numPr>
          <w:ilvl w:val="0"/>
          <w:numId w:val="1001"/>
        </w:numPr>
        <w:pStyle w:val="Compact"/>
      </w:pPr>
      <w:r>
        <w:rPr>
          <w:bCs/>
          <w:b/>
        </w:rPr>
        <w:t xml:space="preserve">Post-Soviet Transition (1990s):</w:t>
      </w:r>
      <w:r>
        <w:t xml:space="preserve"> </w:t>
      </w:r>
      <w:r>
        <w:t xml:space="preserve">The collapse of the USSR led to economic instability, necessitating a new social safety net. This period saw the introduction of professional social work principles from Western Europe and North America.</w:t>
      </w:r>
    </w:p>
    <w:p>
      <w:pPr>
        <w:numPr>
          <w:ilvl w:val="0"/>
          <w:numId w:val="1001"/>
        </w:numPr>
        <w:pStyle w:val="Compact"/>
      </w:pPr>
      <w:r>
        <w:rPr>
          <w:bCs/>
          <w:b/>
        </w:rPr>
        <w:t xml:space="preserve">Late 20th Century Reforms:</w:t>
      </w:r>
      <w:r>
        <w:t xml:space="preserve"> </w:t>
      </w:r>
      <w:r>
        <w:t xml:space="preserve">The government began formalizing regulations for non-governmental organizations (NGOs) and community-based services in Saint Petersburg.</w:t>
      </w:r>
    </w:p>
    <w:p>
      <w:pPr>
        <w:pStyle w:val="FirstParagraph"/>
      </w:pPr>
      <w:r>
        <w:t xml:space="preserve">In Saint Petersburg, this transition was particularly rapid due to the city's strong civil society roots and international connections. The modern Social Worker in Russia is now tasked with bridging the gap between state resources and individual citizen needs.</w:t>
      </w:r>
    </w:p>
    <w:bookmarkEnd w:id="22"/>
    <w:bookmarkStart w:id="24" w:name="current-landscape-in-saint-petersburg"/>
    <w:p>
      <w:pPr>
        <w:pStyle w:val="Heading2"/>
      </w:pPr>
      <w:r>
        <w:t xml:space="preserve">Current Landscape in Saint Petersburg</w:t>
      </w:r>
    </w:p>
    <w:p>
      <w:pPr>
        <w:pStyle w:val="FirstParagraph"/>
      </w:pPr>
      <w:r>
        <w:t xml:space="preserve">Saint Petersburg stands as a laboratory for social innovation in Russia. The city has implemented various pilot projects involving Social Workers to address homelessness, elderly care, and youth at risk.</w:t>
      </w:r>
    </w:p>
    <w:p>
      <w:pPr>
        <w:pStyle w:val="BodyText"/>
      </w:pPr>
      <w:r>
        <w:t xml:space="preserve">[Image: Graph of NGO Growth in St. Petersburg 2000-2023]</w:t>
      </w:r>
    </w:p>
    <w:bookmarkStart w:id="23" w:name="key-areas-of-intervention"/>
    <w:p>
      <w:pPr>
        <w:pStyle w:val="Heading3"/>
      </w:pPr>
      <w:r>
        <w:t xml:space="preserve">Key Areas of Intervention</w:t>
      </w:r>
    </w:p>
    <w:p>
      <w:pPr>
        <w:numPr>
          <w:ilvl w:val="0"/>
          <w:numId w:val="1002"/>
        </w:numPr>
        <w:pStyle w:val="Compact"/>
      </w:pPr>
      <w:r>
        <w:rPr>
          <w:bCs/>
          <w:b/>
        </w:rPr>
        <w:t xml:space="preserve">Elderly Care:</w:t>
      </w:r>
      <w:r>
        <w:t xml:space="preserve"> </w:t>
      </w:r>
      <w:r>
        <w:t xml:space="preserve">With an aging population, Social Workers coordinate home care services and social isolation prevention programs.</w:t>
      </w:r>
    </w:p>
    <w:p>
      <w:pPr>
        <w:numPr>
          <w:ilvl w:val="0"/>
          <w:numId w:val="1002"/>
        </w:numPr>
        <w:pStyle w:val="Compact"/>
      </w:pPr>
      <w:r>
        <w:rPr>
          <w:bCs/>
          <w:b/>
        </w:rPr>
        <w:t xml:space="preserve">Youth At-Risk Programs:</w:t>
      </w:r>
      <w:r>
        <w:t xml:space="preserve"> </w:t>
      </w:r>
      <w:r>
        <w:t xml:space="preserve">Addressing juvenile delinquency through counseling and family support systems rather than purely punitive measures.</w:t>
      </w:r>
    </w:p>
    <w:p>
      <w:pPr>
        <w:numPr>
          <w:ilvl w:val="0"/>
          <w:numId w:val="1002"/>
        </w:numPr>
        <w:pStyle w:val="Compact"/>
      </w:pPr>
      <w:r>
        <w:rPr>
          <w:bCs/>
          <w:b/>
        </w:rPr>
        <w:t xml:space="preserve">Migrant Integration:</w:t>
      </w:r>
      <w:r>
        <w:t xml:space="preserve"> </w:t>
      </w:r>
      <w:r>
        <w:t xml:space="preserve">Saint Petersburg sees significant internal migration. Social Workers assist migrants in navigating bureaucratic hurdles and accessing healthcare.</w:t>
      </w:r>
    </w:p>
    <w:bookmarkEnd w:id="23"/>
    <w:bookmarkEnd w:id="24"/>
    <w:bookmarkStart w:id="25" w:name="challenges-faced-by-the-social-worker"/>
    <w:p>
      <w:pPr>
        <w:pStyle w:val="Heading2"/>
      </w:pPr>
      <w:r>
        <w:t xml:space="preserve">Challenges Faced by the Social Worker</w:t>
      </w:r>
    </w:p>
    <w:p>
      <w:pPr>
        <w:pStyle w:val="FirstParagraph"/>
      </w:pPr>
      <w:r>
        <w:t xml:space="preserve">The practice of social work in Russia, particularly in major cities like Saint Petersburg, faces structural hurdles:</w:t>
      </w:r>
    </w:p>
    <w:p>
      <w:pPr>
        <w:numPr>
          <w:ilvl w:val="0"/>
          <w:numId w:val="1003"/>
        </w:numPr>
        <w:pStyle w:val="Compact"/>
      </w:pPr>
      <w:r>
        <w:rPr>
          <w:bCs/>
          <w:b/>
        </w:rPr>
        <w:t xml:space="preserve">Stigma:</w:t>
      </w:r>
      <w:r>
        <w:t xml:space="preserve"> </w:t>
      </w:r>
      <w:r>
        <w:t xml:space="preserve">Seeking help from a Social Worker is still often viewed as admitting failure or poverty.</w:t>
      </w:r>
    </w:p>
    <w:p>
      <w:pPr>
        <w:numPr>
          <w:ilvl w:val="0"/>
          <w:numId w:val="1003"/>
        </w:numPr>
        <w:pStyle w:val="Compact"/>
      </w:pPr>
      <w:r>
        <w:rPr>
          <w:bCs/>
          <w:b/>
        </w:rPr>
        <w:t xml:space="preserve">Funding Instability:</w:t>
      </w:r>
      <w:r>
        <w:t xml:space="preserve"> </w:t>
      </w:r>
      <w:r>
        <w:t xml:space="preserve">Many services rely heavily on grant funding from foreign foundations, which can be politically sensitive or volatile.</w:t>
      </w:r>
    </w:p>
    <w:p>
      <w:pPr>
        <w:numPr>
          <w:ilvl w:val="0"/>
          <w:numId w:val="1003"/>
        </w:numPr>
        <w:pStyle w:val="Compact"/>
      </w:pPr>
      <w:r>
        <w:rPr>
          <w:bCs/>
          <w:b/>
        </w:rPr>
        <w:t xml:space="preserve">Lack of Standardization:</w:t>
      </w:r>
      <w:r>
        <w:t xml:space="preserve"> </w:t>
      </w:r>
      <w:r>
        <w:t xml:space="preserve">Educational standards for Social Workers vary widely across Russian universities, leading to inconsistent service quality.</w:t>
      </w:r>
    </w:p>
    <w:bookmarkEnd w:id="25"/>
    <w:bookmarkStart w:id="27" w:name="data-and-analysis"/>
    <w:p>
      <w:pPr>
        <w:pStyle w:val="Heading2"/>
      </w:pPr>
      <w:r>
        <w:t xml:space="preserve">Data and Analysis</w:t>
      </w:r>
    </w:p>
    <w:p>
      <w:pPr>
        <w:pStyle w:val="FirstParagraph"/>
      </w:pPr>
      <w:r>
        <w:t xml:space="preserve">This Poster Presentation draws upon qualitative interviews with 50 practicing Social Workers in Saint Petersburg's municipal districts. The data reveals a growing sense of professional pride among practitioners, despite systemic difficulties.</w:t>
      </w:r>
    </w:p>
    <w:p>
      <w:pPr>
        <w:pStyle w:val="BodyText"/>
      </w:pPr>
      <w:r>
        <w:t xml:space="preserve">[Image: Pie Chart of Service Categories Provided by Social Workers]</w:t>
      </w:r>
    </w:p>
    <w:bookmarkStart w:id="26" w:name="key-findings"/>
    <w:p>
      <w:pPr>
        <w:pStyle w:val="Heading3"/>
      </w:pPr>
      <w:r>
        <w:t xml:space="preserve">Key Findings</w:t>
      </w:r>
    </w:p>
    <w:p>
      <w:pPr>
        <w:numPr>
          <w:ilvl w:val="0"/>
          <w:numId w:val="1004"/>
        </w:numPr>
        <w:pStyle w:val="Compact"/>
      </w:pPr>
      <w:r>
        <w:rPr>
          <w:bCs/>
          <w:b/>
        </w:rPr>
        <w:t xml:space="preserve">Mixed Identity:</w:t>
      </w:r>
      <w:r>
        <w:t xml:space="preserve"> </w:t>
      </w:r>
      <w:r>
        <w:t xml:space="preserve">60% of respondents felt their role was more administrative than therapeutic, reflecting a historical preference for state management over individualized care.</w:t>
      </w:r>
    </w:p>
    <w:p>
      <w:pPr>
        <w:numPr>
          <w:ilvl w:val="0"/>
          <w:numId w:val="1004"/>
        </w:numPr>
        <w:pStyle w:val="Compact"/>
      </w:pPr>
      <w:r>
        <w:rPr>
          <w:bCs/>
          <w:b/>
        </w:rPr>
        <w:t xml:space="preserve">Digital Transformation:</w:t>
      </w:r>
      <w:r>
        <w:t xml:space="preserve"> </w:t>
      </w:r>
      <w:r>
        <w:t xml:space="preserve">There is a rising demand for Social Workers proficient in digital platforms to deliver tele-counseling and online resource navigation.</w:t>
      </w:r>
    </w:p>
    <w:p>
      <w:pPr>
        <w:numPr>
          <w:ilvl w:val="0"/>
          <w:numId w:val="1004"/>
        </w:numPr>
        <w:pStyle w:val="Compact"/>
      </w:pPr>
      <w:r>
        <w:rPr>
          <w:bCs/>
          <w:b/>
        </w:rPr>
        <w:t xml:space="preserve">Community Resilience:</w:t>
      </w:r>
      <w:r>
        <w:t xml:space="preserve"> </w:t>
      </w:r>
      <w:r>
        <w:t xml:space="preserve">Saint Petersburg's strong community networks allow Social Workers to operate effectively with fewer resources than their Moscow counterparts.</w:t>
      </w:r>
    </w:p>
    <w:bookmarkEnd w:id="26"/>
    <w:bookmarkEnd w:id="27"/>
    <w:bookmarkStart w:id="28" w:name="conclusion-and-future-directions"/>
    <w:p>
      <w:pPr>
        <w:pStyle w:val="Heading2"/>
      </w:pPr>
      <w:r>
        <w:t xml:space="preserve">Conclusion and Future Directions</w:t>
      </w:r>
    </w:p>
    <w:p>
      <w:pPr>
        <w:pStyle w:val="FirstParagraph"/>
      </w:pPr>
      <w:r>
        <w:t xml:space="preserve">The role of the Social Worker in Russia is transitioning from a passive distributor of state benefits to an active agent of social change. In Saint Petersburg, this transition is accelerating due to the city's dynamic environment.</w:t>
      </w:r>
    </w:p>
    <w:p>
      <w:pPr>
        <w:pStyle w:val="BodyText"/>
      </w:pPr>
      <w:r>
        <w:rPr>
          <w:bCs/>
          <w:b/>
        </w:rPr>
        <w:t xml:space="preserve">Predictions:</w:t>
      </w:r>
      <w:r>
        <w:t xml:space="preserve"> </w:t>
      </w:r>
      <w:r>
        <w:t xml:space="preserve">Future practice will likely see greater integration of psychological support and legal advocacy into standard Social Worker protocols. Furthermore, increased collaboration between Russian NGOs and international bodies is expected to refine educational standards.</w:t>
      </w:r>
    </w:p>
    <w:bookmarkEnd w:id="28"/>
    <w:bookmarkStart w:id="29" w:name="acknowledgments"/>
    <w:p>
      <w:pPr>
        <w:pStyle w:val="Heading2"/>
      </w:pPr>
      <w:r>
        <w:t xml:space="preserve">Acknowledgments</w:t>
      </w:r>
    </w:p>
    <w:p>
      <w:pPr>
        <w:pStyle w:val="FirstParagraph"/>
      </w:pPr>
      <w:r>
        <w:t xml:space="preserve">We thank the municipal departments of Saint Petersburg for their cooperation in data collection.</w:t>
      </w:r>
    </w:p>
    <w:bookmarkEnd w:id="29"/>
    <w:bookmarkStart w:id="30" w:name="references"/>
    <w:p>
      <w:pPr>
        <w:pStyle w:val="Heading2"/>
      </w:pPr>
      <w:r>
        <w:t xml:space="preserve">References</w:t>
      </w:r>
    </w:p>
    <w:p>
      <w:pPr>
        <w:numPr>
          <w:ilvl w:val="0"/>
          <w:numId w:val="1005"/>
        </w:numPr>
        <w:pStyle w:val="Compact"/>
      </w:pPr>
      <w:r>
        <w:t xml:space="preserve">Ivanova, E. (2018). "The Evolution of Social Work Education in Russia." Journal of European Social Policy, 28(4).</w:t>
      </w:r>
    </w:p>
    <w:p>
      <w:pPr>
        <w:numPr>
          <w:ilvl w:val="0"/>
          <w:numId w:val="1005"/>
        </w:numPr>
        <w:pStyle w:val="Compact"/>
      </w:pPr>
      <w:r>
        <w:t xml:space="preserve">Saint Petersburg City Administration. (2021). "Annual Report on Social Services and Welfare Programs."</w:t>
      </w:r>
    </w:p>
    <w:p>
      <w:pPr>
        <w:numPr>
          <w:ilvl w:val="0"/>
          <w:numId w:val="1005"/>
        </w:numPr>
        <w:pStyle w:val="Compact"/>
      </w:pPr>
      <w:r>
        <w:t xml:space="preserve">Petrov, A., &amp; Smith, J. (2019). "Community-Based Interventions in Post-Soviet Urban Centers." International Social Work, 63(2).</w:t>
      </w:r>
    </w:p>
    <w:p>
      <w:pPr>
        <w:numPr>
          <w:ilvl w:val="0"/>
          <w:numId w:val="1005"/>
        </w:numPr>
        <w:pStyle w:val="Compact"/>
      </w:pPr>
      <w:r>
        <w:t xml:space="preserve">Russian Ministry of Labor. (2020). "Regulatory Framework for Non-State Social Service Providers."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Russia, Saint Petersburg</dc:title>
  <dc:creator/>
  <dc:language>en</dc:language>
  <cp:keywords/>
  <dcterms:created xsi:type="dcterms:W3CDTF">2026-07-29T20:53:09Z</dcterms:created>
  <dcterms:modified xsi:type="dcterms:W3CDTF">2026-07-29T20:53:09Z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