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Singapore</w:t>
      </w:r>
    </w:p>
    <w:bookmarkStart w:id="20" w:name="X95a609bb9930982469249891d17b5d6a9f9d555"/>
    <w:p>
      <w:pPr>
        <w:pStyle w:val="Heading1"/>
      </w:pPr>
      <w:r>
        <w:t xml:space="preserve">Bridging Gaps, Building Resilience: The Critical Role of Social Workers in Contemporary Singapore</w:t>
      </w:r>
    </w:p>
    <w:p>
      <w:pPr>
        <w:pStyle w:val="FirstParagraph"/>
      </w:pPr>
      <w:r>
        <w:t xml:space="preserve">Presented at the International Conference on Asian Social Policy Development</w:t>
      </w:r>
    </w:p>
    <w:p>
      <w:pPr>
        <w:pStyle w:val="BodyText"/>
      </w:pPr>
      <w:r>
        <w:rPr>
          <w:bCs/>
          <w:b/>
        </w:rPr>
        <w:t xml:space="preserve">Context:</w:t>
      </w:r>
    </w:p>
    <w:p>
      <w:pPr>
        <w:pStyle w:val="BodyText"/>
      </w:pPr>
      <w:r>
        <w:t xml:space="preserve">This academic poster presentation focuses specifically on the unique socio-cultural landscape of Singapore. It examines how professional social workers in this city-state navigate high-density living, multicultural dynamics, and rapid demographic shifts to provide essential community support.</w:t>
      </w:r>
    </w:p>
    <w:bookmarkEnd w:id="20"/>
    <w:bookmarkStart w:id="21" w:name="introduction-background"/>
    <w:p>
      <w:pPr>
        <w:pStyle w:val="Heading2"/>
      </w:pPr>
      <w:r>
        <w:t xml:space="preserve">Introduction &amp; Background</w:t>
      </w:r>
    </w:p>
    <w:p>
      <w:pPr>
        <w:pStyle w:val="FirstParagraph"/>
      </w:pPr>
      <w:r>
        <w:t xml:space="preserve">In the context of modern urban development, the role of a professional social worker has evolved significantly. In Singapore, often cited as a global model for efficient governance and urban planning, the need for specialized psychosocial support is more acute than ever. While infrastructure in Singapore is world-class, the "human infrastructure" requires dedicated professionals to ensure that societal cohesion remains intact.</w:t>
      </w:r>
    </w:p>
    <w:p>
      <w:pPr>
        <w:pStyle w:val="BodyText"/>
      </w:pPr>
      <w:r>
        <w:t xml:space="preserve">This presentation explores how social workers act as vital intermediaries between state policies and individual community needs. Unlike traditional welfare models found in other regions, the approach here is often integrated with public housing structures and healthcare systems.</w:t>
      </w:r>
    </w:p>
    <w:bookmarkEnd w:id="21"/>
    <w:bookmarkStart w:id="22" w:name="theoretical-framework"/>
    <w:p>
      <w:pPr>
        <w:pStyle w:val="Heading2"/>
      </w:pPr>
      <w:r>
        <w:t xml:space="preserve">Theoretical Framework</w:t>
      </w:r>
    </w:p>
    <w:p>
      <w:pPr>
        <w:pStyle w:val="FirstParagraph"/>
      </w:pPr>
      <w:r>
        <w:t xml:space="preserve">This academic review utilizes the Ecological Systems Theory to analyze the interactions between individuals and their environment. We apply this framework specifically to Singapore's unique environment, which is characterized by:</w:t>
      </w:r>
    </w:p>
    <w:p>
      <w:pPr>
        <w:numPr>
          <w:ilvl w:val="0"/>
          <w:numId w:val="1001"/>
        </w:numPr>
        <w:pStyle w:val="Compact"/>
      </w:pPr>
      <w:r>
        <w:rPr>
          <w:bCs/>
          <w:b/>
        </w:rPr>
        <w:t xml:space="preserve">Multiculturalism:</w:t>
      </w:r>
      <w:r>
        <w:t xml:space="preserve"> </w:t>
      </w:r>
      <w:r>
        <w:t xml:space="preserve">The coexistence of Chinese, Malay, Indian, and Eurasian communities requires culturally competent social workers.</w:t>
      </w:r>
    </w:p>
    <w:p>
      <w:pPr>
        <w:numPr>
          <w:ilvl w:val="0"/>
          <w:numId w:val="1001"/>
        </w:numPr>
        <w:pStyle w:val="Compact"/>
      </w:pPr>
      <w:r>
        <w:rPr>
          <w:bCs/>
          <w:b/>
        </w:rPr>
        <w:t xml:space="preserve">Aging Population:</w:t>
      </w:r>
      <w:r>
        <w:t xml:space="preserve"> </w:t>
      </w:r>
      <w:r>
        <w:t xml:space="preserve">Singapore faces one of the fastest-aging populations in the world, necessitating geriatric social work interventions.</w:t>
      </w:r>
    </w:p>
    <w:p>
      <w:pPr>
        <w:numPr>
          <w:ilvl w:val="0"/>
          <w:numId w:val="1001"/>
        </w:numPr>
        <w:pStyle w:val="Compact"/>
      </w:pPr>
      <w:r>
        <w:rPr>
          <w:bCs/>
          <w:b/>
        </w:rPr>
        <w:t xml:space="preserve">Digitalization:</w:t>
      </w:r>
      <w:r>
        <w:t xml:space="preserve"> </w:t>
      </w:r>
      <w:r>
        <w:t xml:space="preserve">The "Smart Nation" initiative means social workers must also be tech-literate to assist marginalized groups in accessing digital services.</w:t>
      </w:r>
    </w:p>
    <w:bookmarkEnd w:id="22"/>
    <w:bookmarkStart w:id="26" w:name="the-role-of-the-social-worker"/>
    <w:p>
      <w:pPr>
        <w:pStyle w:val="Heading2"/>
      </w:pPr>
      <w:r>
        <w:t xml:space="preserve">The Role of the Social Worker</w:t>
      </w:r>
    </w:p>
    <w:p>
      <w:pPr>
        <w:pStyle w:val="FirstParagraph"/>
      </w:pPr>
      <w:r>
        <w:t xml:space="preserve">Social workers in this region perform diverse functions that extend beyond crisis intervention. Their roles are categorized into three main pillars within the local context:</w:t>
      </w:r>
    </w:p>
    <w:bookmarkStart w:id="23" w:name="clinical-and-community-intervention"/>
    <w:p>
      <w:pPr>
        <w:pStyle w:val="Heading3"/>
      </w:pPr>
      <w:r>
        <w:t xml:space="preserve">1. Clinical and Community Intervention</w:t>
      </w:r>
    </w:p>
    <w:p>
      <w:pPr>
        <w:pStyle w:val="FirstParagraph"/>
      </w:pPr>
      <w:r>
        <w:t xml:space="preserve">Social workers operate primarily through the Ministry of Social and Family Development (MSF) agencies, such as Family Service Centers (FSCs). They provide counseling for family conflicts, domestic violence, and child protection issues. In Singapore's high-pressure educational environment, they also address youth mental health challenges.</w:t>
      </w:r>
    </w:p>
    <w:bookmarkEnd w:id="23"/>
    <w:bookmarkStart w:id="24" w:name="aging-in-place-advocacy"/>
    <w:p>
      <w:pPr>
        <w:pStyle w:val="Heading3"/>
      </w:pPr>
      <w:r>
        <w:t xml:space="preserve">2. Aging-in-Place Advocacy</w:t>
      </w:r>
    </w:p>
    <w:p>
      <w:pPr>
        <w:pStyle w:val="FirstParagraph"/>
      </w:pPr>
      <w:r>
        <w:t xml:space="preserve">Aging in place is a national priority. Social workers coordinate with healthcare providers to ensure elderly citizens can live independently for as long as possible. This involves managing caregiver burdens and assessing the safety of HDB (Housing Development Board) flats for elderly residents.</w:t>
      </w:r>
    </w:p>
    <w:bookmarkEnd w:id="24"/>
    <w:bookmarkStart w:id="25" w:name="poverty-alleviation"/>
    <w:p>
      <w:pPr>
        <w:pStyle w:val="Heading3"/>
      </w:pPr>
      <w:r>
        <w:t xml:space="preserve">3. Poverty Alleviation</w:t>
      </w:r>
    </w:p>
    <w:p>
      <w:pPr>
        <w:pStyle w:val="FirstParagraph"/>
      </w:pPr>
      <w:r>
        <w:t xml:space="preserve">Poverty in this urban setting is often hidden ("hidden poverty"). Social workers play a critical role in identifying families who are "asset-rich but cash-poor," ensuring they have access to healthcare subsidies and food assistance.</w:t>
      </w:r>
    </w:p>
    <w:bookmarkEnd w:id="25"/>
    <w:bookmarkEnd w:id="26"/>
    <w:bookmarkStart w:id="27" w:name="key-challenges"/>
    <w:p>
      <w:pPr>
        <w:pStyle w:val="Heading2"/>
      </w:pPr>
      <w:r>
        <w:t xml:space="preserve">Key Challenges</w:t>
      </w:r>
    </w:p>
    <w:p>
      <w:pPr>
        <w:pStyle w:val="FirstParagraph"/>
      </w:pPr>
      <w:r>
        <w:t xml:space="preserve">Navigating the local landscape presents distinct challenges for practitioners:</w:t>
      </w:r>
    </w:p>
    <w:p>
      <w:pPr>
        <w:numPr>
          <w:ilvl w:val="0"/>
          <w:numId w:val="1002"/>
        </w:numPr>
        <w:pStyle w:val="Compact"/>
      </w:pPr>
      <w:r>
        <w:rPr>
          <w:bCs/>
          <w:b/>
        </w:rPr>
        <w:t xml:space="preserve">● Stigma:</w:t>
      </w:r>
      <w:r>
        <w:t xml:space="preserve"> </w:t>
      </w:r>
      <w:r>
        <w:t xml:space="preserve">Cultural stigma surrounding mental health issues remains a barrier in certain segments of the population.</w:t>
      </w:r>
    </w:p>
    <w:p>
      <w:pPr>
        <w:numPr>
          <w:ilvl w:val="0"/>
          <w:numId w:val="1002"/>
        </w:numPr>
        <w:pStyle w:val="Compact"/>
      </w:pPr>
      <w:r>
        <w:rPr>
          <w:bCs/>
          <w:b/>
        </w:rPr>
        <w:t xml:space="preserve">● Resource Allocation:</w:t>
      </w:r>
      <w:r>
        <w:t xml:space="preserve"> </w:t>
      </w:r>
      <w:r>
        <w:t xml:space="preserve">High demand for services often leads to caseload pressures for individual social workers.</w:t>
      </w:r>
    </w:p>
    <w:p>
      <w:pPr>
        <w:numPr>
          <w:ilvl w:val="0"/>
          <w:numId w:val="1002"/>
        </w:numPr>
        <w:pStyle w:val="Compact"/>
      </w:pPr>
      <w:r>
        <w:rPr>
          <w:bCs/>
          <w:b/>
        </w:rPr>
        <w:t xml:space="preserve">● Changing Family Structures:</w:t>
      </w:r>
      <w:r>
        <w:t xml:space="preserve"> </w:t>
      </w:r>
      <w:r>
        <w:t xml:space="preserve">The shift from extended family living arrangements to nuclear families reduces the natural support network, placing more burden on professional social workers.</w:t>
      </w:r>
    </w:p>
    <w:bookmarkEnd w:id="27"/>
    <w:bookmarkStart w:id="28" w:name="evidence-based-practice-outcomes"/>
    <w:p>
      <w:pPr>
        <w:pStyle w:val="Heading2"/>
      </w:pPr>
      <w:r>
        <w:t xml:space="preserve">Evidence-Based Practice &amp; Outcomes</w:t>
      </w:r>
    </w:p>
    <w:p>
      <w:pPr>
        <w:pStyle w:val="FirstParagraph"/>
      </w:pPr>
      <w:r>
        <w:t xml:space="preserve">This academic poster highlights data-driven interventions utilized by social workers in the region. Recent studies indicate that community-based interventions led by certified professionals significantly reduce hospital readmission rates for chronic patients.</w:t>
      </w:r>
    </w:p>
    <w:p>
      <w:pPr>
        <w:pStyle w:val="BodyText"/>
      </w:pPr>
      <w:r>
        <w:rPr>
          <w:iCs/>
          <w:i/>
          <w:bCs/>
          <w:b/>
        </w:rPr>
        <w:t xml:space="preserve">Case Study: The "Silver Generation" Initiative</w:t>
      </w:r>
      <w:r>
        <w:br/>
      </w:r>
      <w:r>
        <w:t xml:space="preserve">An analysis of a local pilot program demonstrated that when social workers conducted regular home visits, 85% of isolated elderly participants reported improved psychological well-being. This underscores the efficacy of human-centric interventions in an increasingly digital society.</w:t>
      </w:r>
    </w:p>
    <w:p>
      <w:pPr>
        <w:pStyle w:val="BodyText"/>
      </w:pPr>
      <w:r>
        <w:t xml:space="preserve">Furthermore, collaborative efforts between social workers and community partners have led to a measurable decrease in juvenile delinquency rates by providing mentorship and rehabilitation programs rather than purely punitive measures.</w:t>
      </w:r>
    </w:p>
    <w:bookmarkEnd w:id="28"/>
    <w:bookmarkStart w:id="30" w:name="conclusion-future-directions"/>
    <w:p>
      <w:pPr>
        <w:pStyle w:val="Heading2"/>
      </w:pPr>
      <w:r>
        <w:t xml:space="preserve">Conclusion &amp; Future Directions</w:t>
      </w:r>
    </w:p>
    <w:p>
      <w:pPr>
        <w:pStyle w:val="FirstParagraph"/>
      </w:pPr>
      <w:r>
        <w:t xml:space="preserve">In conclusion, the social worker is indispensable to the social fabric of this city-state. As Singapore continues to modernize, the profession must adapt by embracing digital tools while maintaining a human-centered approach. Future strategies should focus on preventative care and strengthening community networks.</w:t>
      </w:r>
    </w:p>
    <w:p>
      <w:pPr>
        <w:pStyle w:val="BodyText"/>
      </w:pPr>
      <w:r>
        <w:t xml:space="preserve">We argue that investing in professional social work education and infrastructure is not merely a welfare expense but a strategic necessity for sustainable development in this urban hub. By empowering social workers with better resources, the nation can ensure that no resident is left behind amidst rapid progress.</w:t>
      </w:r>
    </w:p>
    <w:bookmarkStart w:id="29" w:name="key-takeaway-for-policymakers"/>
    <w:p>
      <w:pPr>
        <w:pStyle w:val="Heading3"/>
      </w:pPr>
      <w:r>
        <w:t xml:space="preserve">Key Takeaway for Policymakers</w:t>
      </w:r>
    </w:p>
    <w:p>
      <w:pPr>
        <w:pStyle w:val="FirstParagraph"/>
      </w:pPr>
      <w:r>
        <w:t xml:space="preserve">To maintain social stability and citizen welfare in this high-performing economy, government bodies must continue to fund and support the professional development of social workers, recognizing them as key architects of community resilience.</w:t>
      </w:r>
    </w:p>
    <w:bookmarkEnd w:id="29"/>
    <w:p>
      <w:r>
        <w:pict>
          <v:rect style="width:0;height:1.5pt" o:hralign="center" o:hrstd="t" o:hr="t"/>
        </w:pict>
      </w:r>
    </w:p>
    <w:p>
      <w:pPr>
        <w:pStyle w:val="FirstParagraph"/>
      </w:pPr>
      <w:r>
        <w:t xml:space="preserve">© 2023 Academic Research Division | Presented for International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Social Workers in Singapore</dc:title>
  <dc:creator/>
  <dc:language>en</dc:language>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