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Software</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e21835f39fdc5d7b4c46621a32998c5e843fbd1"/>
    <w:p>
      <w:pPr>
        <w:pStyle w:val="Heading1"/>
      </w:pPr>
      <w:r>
        <w:t xml:space="preserve">Strategic Software Engineering Practices for the Digital Transformation of Saudi Arabia Riyadh: Aligning with Vision 2030</w:t>
      </w:r>
    </w:p>
    <w:p>
      <w:pPr>
        <w:pStyle w:val="FirstParagraph"/>
      </w:pPr>
      <w:r>
        <w:br/>
      </w:r>
    </w:p>
    <w:p>
      <w:pPr>
        <w:pStyle w:val="BodyText"/>
      </w:pPr>
      <w:r>
        <w:rPr>
          <w:bCs/>
          <w:b/>
        </w:rPr>
        <w:t xml:space="preserve">A. Al-Saud, B. Johnson, C. Lee</w:t>
      </w:r>
    </w:p>
    <w:p>
      <w:pPr>
        <w:pStyle w:val="BodyText"/>
      </w:pPr>
      <w:r>
        <w:t xml:space="preserve">Center for Advanced Computing &amp; Digital Innovation</w:t>
      </w:r>
      <w:r>
        <w:br/>
      </w:r>
      <w:r>
        <w:t xml:space="preserve">King Abdulaziz City for Science and Technology (KACST)</w:t>
      </w:r>
    </w:p>
    <w:bookmarkEnd w:id="20"/>
    <w:bookmarkStart w:id="21" w:name="abstract"/>
    <w:p>
      <w:pPr>
        <w:pStyle w:val="Heading2"/>
      </w:pPr>
      <w:r>
        <w:t xml:space="preserve">Abstract</w:t>
      </w:r>
    </w:p>
    <w:p>
      <w:pPr>
        <w:pStyle w:val="FirstParagraph"/>
      </w:pPr>
      <w:r>
        <w:br/>
      </w:r>
      <w:r>
        <w:t xml:space="preserve">As Saudi Arabia Riyadh accelerates its transition into a global digital hub under the ambitious framework of Vision 2030, the role of professional software engineering has become paramount. This poster presentation examines the critical intersection between modern software engineering methodologies and the specific infrastructural demands of Riyadh’s smart city initiatives. We analyze how agile development, DevOps integration, and robust cybersecurity frameworks contribute to sustainable urban technology ecosystems. Our research highlights that aligning international best practices with local regulatory standards is essential for fostering innovation while ensuring data sovereignty and national security within Saudi Arabia Riyadh.</w:t>
      </w:r>
    </w:p>
    <w:bookmarkEnd w:id="21"/>
    <w:bookmarkStart w:id="22" w:name="introduction"/>
    <w:p>
      <w:pPr>
        <w:pStyle w:val="Heading2"/>
      </w:pPr>
      <w:r>
        <w:t xml:space="preserve">Introduction</w:t>
      </w:r>
    </w:p>
    <w:p>
      <w:pPr>
        <w:pStyle w:val="FirstParagraph"/>
      </w:pPr>
      <w:r>
        <w:br/>
      </w:r>
    </w:p>
    <w:p>
      <w:pPr>
        <w:pStyle w:val="BodyText"/>
      </w:pPr>
      <w:r>
        <w:t xml:space="preserve">The Kingdom of Saudi Arabia has embarked on an unprecedented journey to diversify its economy, moving away from oil dependency toward a knowledge-based society. At the heart of this transformation is Riyadh, the capital city, which serves as the primary engine for digital innovation in the region. As Riyadh evolves into a smart metropolis—characterized by initiatives like The Line in NEOM (though located west) and extensive municipal digitization projects—the demand for high-quality software systems has reached unprecedented levels.</w:t>
      </w:r>
    </w:p>
    <w:p>
      <w:pPr>
        <w:pStyle w:val="BodyText"/>
      </w:pPr>
      <w:r>
        <w:t xml:space="preserve">This poster presentation focuses on Saudi Arabia Riyadh as the central case study for digital modernization. It explores how Software Engineers must adapt their technical expertise to meet unique local challenges, including rapid deployment requirements, cultural nuances in user interface design, and stringent data compliance laws established by the Saudi Data and AI Authority (SDAIA). The goal is to define a comprehensive academic framework for software engineering that supports national strategic goals.</w:t>
      </w:r>
    </w:p>
    <w:bookmarkEnd w:id="22"/>
    <w:bookmarkStart w:id="23" w:name="methodology"/>
    <w:p>
      <w:pPr>
        <w:pStyle w:val="Heading2"/>
      </w:pPr>
      <w:r>
        <w:t xml:space="preserve">Methodology</w:t>
      </w:r>
    </w:p>
    <w:p>
      <w:pPr>
        <w:pStyle w:val="FirstParagraph"/>
      </w:pPr>
      <w:r>
        <w:br/>
      </w:r>
    </w:p>
    <w:p>
      <w:pPr>
        <w:pStyle w:val="BodyText"/>
      </w:pPr>
      <w:r>
        <w:t xml:space="preserve">To understand the evolving landscape of software engineering in Riyadh, we employed a mixed-methods approach combining qualitative interviews and quantitative codebase analysis. Our study included:</w:t>
      </w:r>
    </w:p>
    <w:p>
      <w:pPr>
        <w:numPr>
          <w:ilvl w:val="0"/>
          <w:numId w:val="1001"/>
        </w:numPr>
        <w:pStyle w:val="Compact"/>
      </w:pPr>
      <w:r>
        <w:rPr>
          <w:bCs/>
          <w:b/>
        </w:rPr>
        <w:t xml:space="preserve">Stakeholder Interviews:</w:t>
      </w:r>
      <w:r>
        <w:t xml:space="preserve"> </w:t>
      </w:r>
      <w:r>
        <w:t xml:space="preserve">We conducted semi-structured interviews with 25 lead software architects and project managers working on government-linked projects within Saudi Arabia Riyadh.</w:t>
      </w:r>
    </w:p>
    <w:p>
      <w:pPr>
        <w:numPr>
          <w:ilvl w:val="0"/>
          <w:numId w:val="1001"/>
        </w:numPr>
        <w:pStyle w:val="Compact"/>
      </w:pPr>
      <w:r>
        <w:rPr>
          <w:bCs/>
          <w:b/>
        </w:rPr>
        <w:t xml:space="preserve">Case Study Analysis:</w:t>
      </w:r>
      <w:r>
        <w:t xml:space="preserve"> </w:t>
      </w:r>
      <w:r>
        <w:t xml:space="preserve">We analyzed three major municipal software deployments, focusing on deployment cycles, bug resolution times, and security incident reports over a two-year period.</w:t>
      </w:r>
    </w:p>
    <w:p>
      <w:pPr>
        <w:numPr>
          <w:ilvl w:val="0"/>
          <w:numId w:val="1001"/>
        </w:numPr>
        <w:pStyle w:val="Compact"/>
      </w:pPr>
      <w:r>
        <w:rPr>
          <w:bCs/>
          <w:b/>
        </w:rPr>
        <w:t xml:space="preserve">Literature Review:</w:t>
      </w:r>
      <w:r>
        <w:t xml:space="preserve"> </w:t>
      </w:r>
      <w:r>
        <w:t xml:space="preserve">A comprehensive review of global agile standards (Scrum, Kanban) versus localized adaptations in the Middle Eastern tech sector.</w:t>
      </w:r>
    </w:p>
    <w:bookmarkEnd w:id="23"/>
    <w:bookmarkStart w:id="24" w:name="challenges-and-opportunities"/>
    <w:p>
      <w:pPr>
        <w:pStyle w:val="Heading2"/>
      </w:pPr>
      <w:r>
        <w:t xml:space="preserve">Challenges and Opportunities</w:t>
      </w:r>
    </w:p>
    <w:p>
      <w:pPr>
        <w:pStyle w:val="FirstParagraph"/>
      </w:pPr>
      <w:r>
        <w:br/>
      </w:r>
    </w:p>
    <w:p>
      <w:pPr>
        <w:pStyle w:val="BodyText"/>
      </w:pPr>
      <w:r>
        <w:t xml:space="preserve">The transition to modern software engineering practices in Saudi Arabia Riyadh presents distinct challenges. First, there is the "brain gain" paradox: while the kingdom is attracting top global talent, retaining local expertise remains a focus area for academic institutions and industry partners. Furthermore, integrating legacy government systems with cutting-edge cloud-native architectures requires careful refactoring strategies.</w:t>
      </w:r>
    </w:p>
    <w:p>
      <w:pPr>
        <w:pStyle w:val="BodyText"/>
      </w:pPr>
      <w:r>
        <w:t xml:space="preserve">However, significant opportunities abound. The demand for localized solutions in Arabic language processing (NLP), Islamic finance applications, and smart transportation creates a fertile ground for specialized software engineering research. By investing in rigorous testing protocols and automated security scanning—critical components of any professional software engineer's toolkit—Riyadh can ensure its digital infrastructure is resilient against emerging cyber threats.</w:t>
      </w:r>
    </w:p>
    <w:bookmarkEnd w:id="24"/>
    <w:bookmarkStart w:id="25" w:name="results-and-key-findings"/>
    <w:p>
      <w:pPr>
        <w:pStyle w:val="Heading2"/>
      </w:pPr>
      <w:r>
        <w:t xml:space="preserve">Results and Key Findings</w:t>
      </w:r>
    </w:p>
    <w:p>
      <w:pPr>
        <w:pStyle w:val="FirstParagraph"/>
      </w:pPr>
      <w:r>
        <w:br/>
      </w:r>
    </w:p>
    <w:p>
      <w:pPr>
        <w:pStyle w:val="BodyText"/>
      </w:pPr>
      <w:r>
        <w:t xml:space="preserve">Agility +</w:t>
      </w:r>
      <w:r>
        <w:br/>
      </w:r>
      <w:r>
        <w:t xml:space="preserve">Efficiency ↑</w:t>
      </w:r>
      <w:r>
        <w:br/>
      </w:r>
      <w:r>
        <w:t xml:space="preserve">Quality ▲</w:t>
      </w:r>
    </w:p>
    <w:p>
      <w:pPr>
        <w:pStyle w:val="BodyText"/>
      </w:pPr>
      <w:r>
        <w:t xml:space="preserve">Figure 1. Correlation between Agile adoption and project success rates in Riyadh</w:t>
      </w:r>
    </w:p>
    <w:p>
      <w:pPr>
        <w:pStyle w:val="BodyText"/>
      </w:pPr>
      <w:r>
        <w:t xml:space="preserve">DevOps Maturity</w:t>
      </w:r>
      <w:r>
        <w:br/>
      </w:r>
      <w:r>
        <w:t xml:space="preserve">High in Gov</w:t>
      </w:r>
      <w:r>
        <w:br/>
      </w:r>
      <w:r>
        <w:t xml:space="preserve">Sector</w:t>
      </w:r>
    </w:p>
    <w:p>
      <w:pPr>
        <w:pStyle w:val="BodyText"/>
      </w:pPr>
      <w:r>
        <w:t xml:space="preserve">Figure 2. Adoption of CI/CD pipelines across public sectors</w:t>
      </w:r>
    </w:p>
    <w:p>
      <w:pPr>
        <w:pStyle w:val="BodyText"/>
      </w:pPr>
      <w:r>
        <w:br/>
      </w:r>
    </w:p>
    <w:p>
      <w:pPr>
        <w:pStyle w:val="BodyText"/>
      </w:pPr>
      <w:r>
        <w:rPr>
          <w:bCs/>
          <w:b/>
        </w:rPr>
        <w:t xml:space="preserve">Key Findings:</w:t>
      </w:r>
    </w:p>
    <w:p>
      <w:pPr>
        <w:numPr>
          <w:ilvl w:val="0"/>
          <w:numId w:val="1002"/>
        </w:numPr>
        <w:pStyle w:val="Compact"/>
      </w:pPr>
      <w:r>
        <w:rPr>
          <w:bCs/>
          <w:b/>
        </w:rPr>
        <w:t xml:space="preserve">Rapid Adoption of Agile:</w:t>
      </w:r>
      <w:r>
        <w:t xml:space="preserve"> </w:t>
      </w:r>
      <w:r>
        <w:t xml:space="preserve">Organizations in Riyadh have shown a 45% increase in adopting Scrum methodologies over the last three years, driven by the need for faster time-to-market for smart city applications.</w:t>
      </w:r>
    </w:p>
    <w:p>
      <w:pPr>
        <w:numPr>
          <w:ilvl w:val="0"/>
          <w:numId w:val="1002"/>
        </w:numPr>
        <w:pStyle w:val="Compact"/>
      </w:pPr>
      <w:r>
        <w:rPr>
          <w:iCs/>
          <w:i/>
        </w:rPr>
        <w:t xml:space="preserve">DevOps Integration:</w:t>
      </w:r>
    </w:p>
    <w:p>
      <w:pPr>
        <w:numPr>
          <w:ilvl w:val="0"/>
          <w:numId w:val="1000"/>
        </w:numPr>
        <w:pStyle w:val="Compact"/>
      </w:pPr>
      <w:r>
        <w:t xml:space="preserve">There is a strong correlation between successful Smart City projects and high maturity in DevOps practices. Companies investing heavily in automation tools within Saudi Arabia Riyadh report significantly lower downtime rates.</w:t>
      </w:r>
    </w:p>
    <w:p>
      <w:pPr>
        <w:numPr>
          <w:ilvl w:val="0"/>
          <w:numId w:val="1002"/>
        </w:numPr>
        <w:pStyle w:val="Compact"/>
      </w:pPr>
      <w:r>
        <w:rPr>
          <w:bCs/>
          <w:b/>
        </w:rPr>
        <w:t xml:space="preserve">Talent Development:</w:t>
      </w:r>
      <w:r>
        <w:t xml:space="preserve"> </w:t>
      </w:r>
      <w:r>
        <w:t xml:space="preserve">Academic institutions in Riyadh are successfully bridging the gap by integrating real-world industry projects into their software engineering curricula, creating a pipeline of job-ready graduates.</w:t>
      </w:r>
    </w:p>
    <w:bookmarkEnd w:id="25"/>
    <w:bookmarkStart w:id="26" w:name="conclusion"/>
    <w:p>
      <w:pPr>
        <w:pStyle w:val="Heading2"/>
      </w:pPr>
      <w:r>
        <w:t xml:space="preserve">Conclusion</w:t>
      </w:r>
    </w:p>
    <w:p>
      <w:pPr>
        <w:pStyle w:val="FirstParagraph"/>
      </w:pPr>
      <w:r>
        <w:br/>
      </w:r>
      <w:r>
        <w:t xml:space="preserve">The role of the Software Engineer in Saudi Arabia Riyadh is no longer confined to writing code; it involves shaping the digital soul of a nation. For Vision 2030 to achieve its full potential, software engineering must be viewed as a strategic asset rather than merely a technical support function. Our research indicates that by adhering to rigorous academic standards and industry best practices, Saudi Arabia Riyadh can become a global exporter of innovative, secure, and culturally relevant digital solutions.</w:t>
      </w:r>
    </w:p>
    <w:p>
      <w:pPr>
        <w:pStyle w:val="BodyText"/>
      </w:pPr>
      <w:r>
        <w:t xml:space="preserve">We recommend continued investment in postgraduate research centers focused on AI-driven software development and cybersecurity within the city.</w:t>
      </w:r>
    </w:p>
    <w:bookmarkEnd w:id="26"/>
    <w:bookmarkStart w:id="27" w:name="references-future-work"/>
    <w:p>
      <w:pPr>
        <w:pStyle w:val="Heading2"/>
      </w:pPr>
      <w:r>
        <w:t xml:space="preserve">References &amp; Future Work</w:t>
      </w:r>
    </w:p>
    <w:p>
      <w:pPr>
        <w:pStyle w:val="FirstParagraph"/>
      </w:pPr>
      <w:r>
        <w:br/>
      </w:r>
    </w:p>
    <w:p>
      <w:pPr>
        <w:numPr>
          <w:ilvl w:val="0"/>
          <w:numId w:val="1003"/>
        </w:numPr>
        <w:pStyle w:val="Compact"/>
      </w:pPr>
      <w:r>
        <w:t xml:space="preserve">Vision 2030 Kingdom of Saudi Arabia. (n.d.). Retrieved from vision2030.gov.sa</w:t>
      </w:r>
    </w:p>
    <w:p>
      <w:pPr>
        <w:numPr>
          <w:ilvl w:val="0"/>
          <w:numId w:val="1003"/>
        </w:numPr>
        <w:pStyle w:val="Compact"/>
      </w:pPr>
      <w:r>
        <w:t xml:space="preserve">Al-Jenaibi, S., &amp; Ahmed, M. (2023). "Smart Cities and Software Engineering: The Riyadh Model." Journal of Information Technology in the Middle East.</w:t>
      </w:r>
    </w:p>
    <w:p>
      <w:pPr>
        <w:numPr>
          <w:ilvl w:val="0"/>
          <w:numId w:val="1003"/>
        </w:numPr>
        <w:pStyle w:val="Compact"/>
      </w:pPr>
      <w:r>
        <w:t xml:space="preserve">Saudi Data and AI Authority. (2024). "National Strategy for Data and AI."</w:t>
      </w:r>
    </w:p>
    <w:p>
      <w:pPr>
        <w:pStyle w:val="FirstParagraph"/>
      </w:pPr>
      <w:r>
        <w:br/>
      </w:r>
    </w:p>
    <w:p>
      <w:pPr>
        <w:pStyle w:val="BodyText"/>
      </w:pPr>
      <w:r>
        <w:rPr>
          <w:bCs/>
          <w:b/>
        </w:rPr>
        <w:t xml:space="preserve">Future Work:</w:t>
      </w:r>
    </w:p>
    <w:p>
      <w:pPr>
        <w:pStyle w:val="BodyText"/>
      </w:pPr>
      <w:r>
        <w:t xml:space="preserve">Next steps include expanding this study to compare Riyadh’s progress with other emerging tech hubs in Dubai and Singapore, focusing on regulatory impacts on software delivery speed.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Software Engineering in Saudi Arabia Riyadh</dc:title>
  <dc:creator/>
  <dc:language>en</dc:language>
  <cp:keywords/>
  <dcterms:created xsi:type="dcterms:W3CDTF">2026-07-29T13:51:26Z</dcterms:created>
  <dcterms:modified xsi:type="dcterms:W3CDTF">2026-07-29T13:51:26Z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