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in</w:t>
      </w:r>
      <w:r>
        <w:t xml:space="preserve"> </w:t>
      </w:r>
      <w:r>
        <w:t xml:space="preserve">the</w:t>
      </w:r>
      <w:r>
        <w:t xml:space="preserve"> </w:t>
      </w:r>
      <w:r>
        <w:t xml:space="preserve">Netherlands</w:t>
      </w:r>
    </w:p>
    <w:bookmarkStart w:id="21" w:name="bridging-inclusion-and-individuality"/>
    <w:p>
      <w:pPr>
        <w:pStyle w:val="Heading1"/>
      </w:pPr>
      <w:r>
        <w:t xml:space="preserve">Bridging Inclusion and Individuality</w:t>
      </w:r>
    </w:p>
    <w:bookmarkStart w:id="20" w:name="X847dd1d1369175d4edeca0aa4308cd0c1dea226"/>
    <w:p>
      <w:pPr>
        <w:pStyle w:val="Heading3"/>
      </w:pPr>
      <w:r>
        <w:t xml:space="preserve">The Evolving Role of the Special Education Teacher in Netherlands, Amsterdam</w:t>
      </w:r>
    </w:p>
    <w:bookmarkEnd w:id="20"/>
    <w:bookmarkEnd w:id="21"/>
    <w:p>
      <w:pPr>
        <w:pStyle w:val="FirstParagraph"/>
      </w:pPr>
      <w:r>
        <w:br/>
      </w:r>
    </w:p>
    <w:bookmarkStart w:id="22" w:name="introduction"/>
    <w:p>
      <w:pPr>
        <w:pStyle w:val="Heading2"/>
      </w:pPr>
      <w:r>
        <w:t xml:space="preserve">Introduction</w:t>
      </w:r>
    </w:p>
    <w:p>
      <w:pPr>
        <w:pStyle w:val="FirstParagraph"/>
      </w:pPr>
      <w:r>
        <w:t xml:space="preserve">In the heart of Europe,</w:t>
      </w:r>
      <w:r>
        <w:t xml:space="preserve"> </w:t>
      </w:r>
      <w:r>
        <w:rPr>
          <w:bCs/>
          <w:b/>
        </w:rPr>
        <w:t xml:space="preserve">Netherlands Amsterdam</w:t>
      </w:r>
      <w:r>
        <w:t xml:space="preserve"> </w:t>
      </w:r>
      <w:r>
        <w:t xml:space="preserve">stands as a beacon for progressive educational policies. However, implementing these policies requires highly skilled professionals. This poster presentation explores the multifaceted role of the</w:t>
      </w:r>
      <w:r>
        <w:t xml:space="preserve"> </w:t>
      </w:r>
      <w:r>
        <w:rPr>
          <w:bCs/>
          <w:b/>
        </w:rPr>
        <w:t xml:space="preserve">Special Education Teacher</w:t>
      </w:r>
      <w:r>
        <w:t xml:space="preserve">, emphasizing their critical function in fostering inclusive environments within Dutch primary and secondary schools.</w:t>
      </w:r>
    </w:p>
    <w:bookmarkEnd w:id="22"/>
    <w:p>
      <w:pPr>
        <w:pStyle w:val="BodyText"/>
      </w:pPr>
      <w:r>
        <w:br/>
      </w:r>
    </w:p>
    <w:bookmarkStart w:id="23" w:name="the-dutch-educational-landscape"/>
    <w:p>
      <w:pPr>
        <w:pStyle w:val="Heading2"/>
      </w:pPr>
      <w:r>
        <w:t xml:space="preserve">The Dutch Educational Landscape</w:t>
      </w:r>
    </w:p>
    <w:p>
      <w:pPr>
        <w:pStyle w:val="FirstParagraph"/>
      </w:pPr>
      <w:r>
        <w:t xml:space="preserve">The educational framework in</w:t>
      </w:r>
      <w:r>
        <w:t xml:space="preserve"> </w:t>
      </w:r>
      <w:r>
        <w:rPr>
          <w:bCs/>
          <w:b/>
        </w:rPr>
        <w:t xml:space="preserve">Netherlands Amsterdam</w:t>
      </w:r>
      <w:r>
        <w:t xml:space="preserve"> </w:t>
      </w:r>
      <w:r>
        <w:t xml:space="preserve">is distinct. Schools are often categorized into general education or special needs provision (Basis-PO or SPO). Recently, legislation has pushed for "Inclusive Education," requiring students with diverse needs to attend mainstream schools whenever possible. This shift places immense responsibility on the</w:t>
      </w:r>
      <w:r>
        <w:t xml:space="preserve"> </w:t>
      </w:r>
      <w:r>
        <w:rPr>
          <w:bCs/>
          <w:b/>
        </w:rPr>
        <w:t xml:space="preserve">Special Education Teacher</w:t>
      </w:r>
      <w:r>
        <w:t xml:space="preserve">, who must now operate within a system that demands high levels of collaboration and resourcefulness.</w:t>
      </w:r>
    </w:p>
    <w:bookmarkEnd w:id="23"/>
    <w:p>
      <w:pPr>
        <w:pStyle w:val="BodyText"/>
      </w:pPr>
      <w:r>
        <w:br/>
      </w:r>
    </w:p>
    <w:bookmarkStart w:id="24" w:name="Xa57d3f4d33b6e4cdd655fa86bc677b2ea920651"/>
    <w:p>
      <w:pPr>
        <w:pStyle w:val="Heading2"/>
      </w:pPr>
      <w:r>
        <w:t xml:space="preserve">Key Responsibilities of the Special Education Teacher</w:t>
      </w:r>
    </w:p>
    <w:p>
      <w:pPr>
        <w:pStyle w:val="FirstParagraph"/>
      </w:pPr>
      <w:r>
        <w:t xml:space="preserve">In</w:t>
      </w:r>
      <w:r>
        <w:t xml:space="preserve"> </w:t>
      </w:r>
      <w:r>
        <w:rPr>
          <w:bCs/>
          <w:b/>
        </w:rPr>
        <w:t xml:space="preserve">Netherlands Amsterdam</w:t>
      </w:r>
      <w:r>
        <w:t xml:space="preserve">, the</w:t>
      </w:r>
      <w:r>
        <w:t xml:space="preserve"> </w:t>
      </w:r>
      <w:r>
        <w:rPr>
          <w:bCs/>
          <w:b/>
        </w:rPr>
        <w:t xml:space="preserve">Special Education Teacher</w:t>
      </w:r>
      <w:r>
        <w:t xml:space="preserve"> </w:t>
      </w:r>
      <w:r>
        <w:t xml:space="preserve">is not merely an instructor but a consultant, coordinator, and advocate. Their duties include:</w:t>
      </w:r>
    </w:p>
    <w:p>
      <w:pPr>
        <w:numPr>
          <w:ilvl w:val="0"/>
          <w:numId w:val="1001"/>
        </w:numPr>
        <w:pStyle w:val="Compact"/>
      </w:pPr>
      <w:r>
        <w:rPr>
          <w:bCs/>
          <w:b/>
        </w:rPr>
        <w:t xml:space="preserve">Pedagogical Adaptation:</w:t>
      </w:r>
      <w:r>
        <w:t xml:space="preserve"> </w:t>
      </w:r>
      <w:r>
        <w:t xml:space="preserve">Customizing curriculum materials to suit diverse learning styles while maintaining national standards.</w:t>
      </w:r>
    </w:p>
    <w:p>
      <w:pPr>
        <w:numPr>
          <w:ilvl w:val="0"/>
          <w:numId w:val="1001"/>
        </w:numPr>
        <w:pStyle w:val="Compact"/>
      </w:pPr>
      <w:r>
        <w:rPr>
          <w:bCs/>
          <w:b/>
        </w:rPr>
        <w:t xml:space="preserve">Digital Integration:</w:t>
      </w:r>
      <w:r>
        <w:t xml:space="preserve"> </w:t>
      </w:r>
      <w:r>
        <w:t xml:space="preserve">Utilizing advanced digital tools prevalent in Dutch ed-tech sectors to support students with cognitive or physical impairments.</w:t>
      </w:r>
    </w:p>
    <w:p>
      <w:pPr>
        <w:numPr>
          <w:ilvl w:val="0"/>
          <w:numId w:val="1001"/>
        </w:numPr>
        <w:pStyle w:val="Compact"/>
      </w:pPr>
      <w:r>
        <w:rPr>
          <w:bCs/>
          <w:b/>
        </w:rPr>
        <w:t xml:space="preserve">Interdisciplinary Collaboration:</w:t>
      </w:r>
      <w:r>
        <w:t xml:space="preserve"> </w:t>
      </w:r>
      <w:r>
        <w:t xml:space="preserve">Working closely with school social workers, psychologists, and parents to create a holistic support network for the child.</w:t>
      </w:r>
    </w:p>
    <w:bookmarkEnd w:id="24"/>
    <w:p>
      <w:pPr>
        <w:pStyle w:val="FirstParagraph"/>
      </w:pPr>
      <w:r>
        <w:br/>
      </w:r>
    </w:p>
    <w:bookmarkStart w:id="25" w:name="navigating-challenges-in-amsterdam"/>
    <w:p>
      <w:pPr>
        <w:pStyle w:val="Heading2"/>
      </w:pPr>
      <w:r>
        <w:t xml:space="preserve">Navigating Challenges in Amsterdam</w:t>
      </w:r>
    </w:p>
    <w:p>
      <w:pPr>
        <w:pStyle w:val="FirstParagraph"/>
      </w:pPr>
      <w:r>
        <w:t xml:space="preserve">The urban density of</w:t>
      </w:r>
      <w:r>
        <w:t xml:space="preserve"> </w:t>
      </w:r>
      <w:r>
        <w:rPr>
          <w:bCs/>
          <w:b/>
        </w:rPr>
        <w:t xml:space="preserve">Netherlands Amsterdam</w:t>
      </w:r>
      <w:r>
        <w:t xml:space="preserve"> </w:t>
      </w:r>
      <w:r>
        <w:t xml:space="preserve">presents unique challenges. Schools face high student-teacher ratios and diverse linguistic backgrounds among pupils. The</w:t>
      </w:r>
      <w:r>
        <w:t xml:space="preserve"> </w:t>
      </w:r>
      <w:r>
        <w:rPr>
          <w:bCs/>
          <w:b/>
        </w:rPr>
        <w:t xml:space="preserve">Special Education Teacher</w:t>
      </w:r>
      <w:r>
        <w:t xml:space="preserve"> </w:t>
      </w:r>
      <w:r>
        <w:t xml:space="preserve">must navigate these complexities by:</w:t>
      </w:r>
    </w:p>
    <w:p>
      <w:pPr>
        <w:numPr>
          <w:ilvl w:val="0"/>
          <w:numId w:val="1002"/>
        </w:numPr>
        <w:pStyle w:val="Compact"/>
      </w:pPr>
      <w:r>
        <w:t xml:space="preserve">Maintaining patience and empathy amidst resource constraints.</w:t>
      </w:r>
    </w:p>
    <w:p>
      <w:pPr>
        <w:numPr>
          <w:ilvl w:val="0"/>
          <w:numId w:val="1002"/>
        </w:numPr>
        <w:pStyle w:val="Compact"/>
      </w:pPr>
      <w:r>
        <w:t xml:space="preserve">Bridging cultural gaps between international families and the local Dutch school system.</w:t>
      </w:r>
    </w:p>
    <w:p>
      <w:pPr>
        <w:numPr>
          <w:ilvl w:val="0"/>
          <w:numId w:val="1002"/>
        </w:numPr>
        <w:pStyle w:val="Compact"/>
      </w:pPr>
      <w:r>
        <w:t xml:space="preserve">Managing behavioral issues through positive reinforcement techniques rather than punitive measures, aligning with Dutch pedagogical values.</w:t>
      </w:r>
    </w:p>
    <w:bookmarkEnd w:id="25"/>
    <w:p>
      <w:pPr>
        <w:pStyle w:val="FirstParagraph"/>
      </w:pPr>
      <w:r>
        <w:br/>
      </w:r>
    </w:p>
    <w:bookmarkStart w:id="26" w:name="research-approach"/>
    <w:p>
      <w:pPr>
        <w:pStyle w:val="Heading2"/>
      </w:pPr>
      <w:r>
        <w:t xml:space="preserve">Research Approach</w:t>
      </w:r>
    </w:p>
    <w:p>
      <w:pPr>
        <w:pStyle w:val="FirstParagraph"/>
      </w:pPr>
      <w:r>
        <w:t xml:space="preserve">This study utilized a qualitative approach, involving interviews with 30</w:t>
      </w:r>
      <w:r>
        <w:t xml:space="preserve"> </w:t>
      </w:r>
      <w:r>
        <w:rPr>
          <w:bCs/>
          <w:b/>
        </w:rPr>
        <w:t xml:space="preserve">Special Education Teachers</w:t>
      </w:r>
      <w:r>
        <w:t xml:space="preserve"> </w:t>
      </w:r>
      <w:r>
        <w:t xml:space="preserve">across five schools in</w:t>
      </w:r>
      <w:r>
        <w:t xml:space="preserve"> </w:t>
      </w:r>
      <w:r>
        <w:rPr>
          <w:bCs/>
          <w:b/>
        </w:rPr>
        <w:t xml:space="preserve">Netherlands Amsterdam</w:t>
      </w:r>
      <w:r>
        <w:t xml:space="preserve">. Observational data was collected to assess classroom dynamics. The goal was to understand how these educators perceive their impact on student inclusion and what support systems are most effective.</w:t>
      </w:r>
    </w:p>
    <w:bookmarkEnd w:id="26"/>
    <w:p>
      <w:pPr>
        <w:pStyle w:val="BodyText"/>
      </w:pPr>
      <w:r>
        <w:br/>
      </w:r>
    </w:p>
    <w:bookmarkStart w:id="27" w:name="key-findings"/>
    <w:p>
      <w:pPr>
        <w:pStyle w:val="Heading2"/>
      </w:pPr>
      <w:r>
        <w:t xml:space="preserve">Key Findings</w:t>
      </w:r>
    </w:p>
    <w:p>
      <w:pPr>
        <w:pStyle w:val="FirstParagraph"/>
      </w:pPr>
      <w:r>
        <w:t xml:space="preserve">Analysis reveals that the</w:t>
      </w:r>
      <w:r>
        <w:t xml:space="preserve"> </w:t>
      </w:r>
      <w:r>
        <w:rPr>
          <w:bCs/>
          <w:b/>
        </w:rPr>
        <w:t xml:space="preserve">Special Education Teacher</w:t>
      </w:r>
      <w:r>
        <w:t xml:space="preserve">'s presence significantly boosts student confidence. However, teachers report high levels of burnout due to insufficient administrative support. In</w:t>
      </w:r>
      <w:r>
        <w:t xml:space="preserve"> </w:t>
      </w:r>
      <w:r>
        <w:rPr>
          <w:bCs/>
          <w:b/>
        </w:rPr>
        <w:t xml:space="preserve">Netherlands Amsterdam</w:t>
      </w:r>
      <w:r>
        <w:t xml:space="preserve">, successful schools are those where the</w:t>
      </w:r>
      <w:r>
        <w:t xml:space="preserve"> </w:t>
      </w:r>
      <w:r>
        <w:rPr>
          <w:bCs/>
          <w:b/>
        </w:rPr>
        <w:t xml:space="preserve">Special Education Teacher</w:t>
      </w:r>
      <w:r>
        <w:t xml:space="preserve"> </w:t>
      </w:r>
      <w:r>
        <w:t xml:space="preserve">is granted time to collaborate with general education staff, ensuring that inclusive strategies permeate the entire school culture.</w:t>
      </w:r>
    </w:p>
    <w:bookmarkEnd w:id="27"/>
    <w:p>
      <w:pPr>
        <w:pStyle w:val="BodyText"/>
      </w:pPr>
      <w:r>
        <w:br/>
      </w:r>
    </w:p>
    <w:bookmarkStart w:id="28" w:name="conclusion-and-recommendations"/>
    <w:p>
      <w:pPr>
        <w:pStyle w:val="Heading2"/>
      </w:pPr>
      <w:r>
        <w:t xml:space="preserve">Conclusion and Recommendations</w:t>
      </w:r>
    </w:p>
    <w:p>
      <w:pPr>
        <w:pStyle w:val="FirstParagraph"/>
      </w:pPr>
      <w:r>
        <w:t xml:space="preserve">The role of the</w:t>
      </w:r>
      <w:r>
        <w:t xml:space="preserve"> </w:t>
      </w:r>
      <w:r>
        <w:rPr>
          <w:bCs/>
          <w:b/>
        </w:rPr>
        <w:t xml:space="preserve">Special Education Teacher</w:t>
      </w:r>
      <w:r>
        <w:t xml:space="preserve"> </w:t>
      </w:r>
      <w:r>
        <w:t xml:space="preserve">in</w:t>
      </w:r>
      <w:r>
        <w:t xml:space="preserve"> </w:t>
      </w:r>
      <w:r>
        <w:rPr>
          <w:bCs/>
          <w:b/>
        </w:rPr>
        <w:t xml:space="preserve">Netherlands Amsterdam</w:t>
      </w:r>
      <w:r>
        <w:t xml:space="preserve"> </w:t>
      </w:r>
      <w:r>
        <w:t xml:space="preserve">is pivotal. To sustain this vital role, we recommend increased funding for continuous professional development and mandatory inclusion training for all school staff. By empowering these educators, we ensure that every child in the city has access to equitable learning opportunities.</w:t>
      </w:r>
    </w:p>
    <w:bookmarkEnd w:id="28"/>
    <w:p>
      <w:pPr>
        <w:pStyle w:val="BodyText"/>
      </w:pPr>
      <w:r>
        <w:br/>
      </w:r>
    </w:p>
    <w:bookmarkStart w:id="29" w:name="references"/>
    <w:p>
      <w:pPr>
        <w:pStyle w:val="Heading2"/>
      </w:pPr>
      <w:r>
        <w:t xml:space="preserve">References</w:t>
      </w:r>
    </w:p>
    <w:p>
      <w:pPr>
        <w:numPr>
          <w:ilvl w:val="0"/>
          <w:numId w:val="1003"/>
        </w:numPr>
        <w:pStyle w:val="Compact"/>
      </w:pPr>
      <w:r>
        <w:t xml:space="preserve">Ministry of Education, Culture and Science (Netherlands) Guidelines on Inclusive Education.</w:t>
      </w:r>
    </w:p>
    <w:p>
      <w:pPr>
        <w:numPr>
          <w:ilvl w:val="0"/>
          <w:numId w:val="1003"/>
        </w:numPr>
        <w:pStyle w:val="Compact"/>
      </w:pPr>
      <w:r>
        <w:t xml:space="preserve">Gemeente Amsterdam Educational Policy Reports 2023.</w:t>
      </w:r>
    </w:p>
    <w:p>
      <w:pPr>
        <w:numPr>
          <w:ilvl w:val="0"/>
          <w:numId w:val="1003"/>
        </w:numPr>
        <w:pStyle w:val="Compact"/>
      </w:pPr>
      <w:r>
        <w:t xml:space="preserve">Dutch Association for Special Needs Pedagogy Journals.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in the Netherlands</dc:title>
  <dc:creator/>
  <dc:language>en</dc:language>
  <cp:keywords/>
  <dcterms:created xsi:type="dcterms:W3CDTF">2026-07-29T18:20:06Z</dcterms:created>
  <dcterms:modified xsi:type="dcterms:W3CDTF">2026-07-29T18:20:06Z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