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Auckland</w:t>
      </w:r>
    </w:p>
    <w:bookmarkStart w:id="21" w:name="redefining-inclusive-education"/>
    <w:p>
      <w:pPr>
        <w:pStyle w:val="Heading1"/>
      </w:pPr>
      <w:r>
        <w:t xml:space="preserve">Redefining Inclusive Education</w:t>
      </w:r>
    </w:p>
    <w:bookmarkStart w:id="20" w:name="Xdbe4ca46ac69a408a8cda1cfe3d4fb27697ae46"/>
    <w:p>
      <w:pPr>
        <w:pStyle w:val="Heading2"/>
      </w:pPr>
      <w:r>
        <w:t xml:space="preserve">The Evolving Role of the Special Education Teacher in Auckland, New Zealand</w:t>
      </w:r>
    </w:p>
    <w:p>
      <w:pPr>
        <w:pStyle w:val="FirstParagraph"/>
      </w:pPr>
      <w:r>
        <w:t xml:space="preserve">"</w:t>
      </w:r>
    </w:p>
    <w:p>
      <w:pPr>
        <w:pStyle w:val="BodyText"/>
      </w:pPr>
      <w:r>
        <w:rPr>
          <w:bCs/>
          <w:b/>
        </w:rPr>
        <w:t xml:space="preserve">Presentation Author:</w:t>
      </w:r>
      <w:r>
        <w:t xml:space="preserve">" Dr. Jane Doe | Department of Educational Studies, University of Auckland"</w:t>
      </w:r>
    </w:p>
    <w:bookmarkEnd w:id="20"/>
    <w:bookmarkEnd w:id="21"/>
    <w:bookmarkStart w:id="22" w:name="X3c6159db63198eec4b842a289fd01b49518c8b8"/>
    <w:p>
      <w:pPr>
        <w:pStyle w:val="Heading3"/>
      </w:pPr>
      <w:r>
        <w:t xml:space="preserve">Introduction and Context: The Auckland Landscape</w:t>
      </w:r>
    </w:p>
    <w:p>
      <w:pPr>
        <w:pStyle w:val="FirstParagraph"/>
      </w:pPr>
      <w:r>
        <w:t xml:space="preserve">"</w:t>
      </w:r>
    </w:p>
    <w:p>
      <w:pPr>
        <w:pStyle w:val="BodyText"/>
      </w:pPr>
      <w:r>
        <w:t xml:space="preserve">"The landscape of special education in New Zealand is undergoing significant transformation, driven by the national shift towards inclusive practices and the unique demographic complexities of Auckland. As New Zealand’s largest city, Auckland serves as a microcosm for diverse educational needs, characterized by its multicultural population and varying socioeconomic statuses. This poster presentation explores the critical role of the Special Education Teacher (SET) within this dynamic environment. We examine how SETs navigate the intersection of national policy frameworks, such as the *New Zealand Curriculum* and *Inclusive Practice in Schools*, with local community demands in Auckland.</w:t>
      </w:r>
    </w:p>
    <w:p>
      <w:pPr>
        <w:pStyle w:val="BodyText"/>
      </w:pPr>
      <w:r>
        <w:t xml:space="preserve">"</w:t>
      </w:r>
    </w:p>
    <w:p>
      <w:pPr>
        <w:pStyle w:val="BodyText"/>
      </w:pPr>
      <w:r>
        <w:t xml:space="preserve">"Historically, special education in New Zealand has been dominated by a medical or deficit model, focusing on categorization and segregation. However, recent pedagogical shifts emphasize inclusion—ensuring that students with diverse abilities learn alongside their peers within general education settings. In Auckland, this shift is complicated by high student mobility and linguistic diversity. Therefore, the modern SET in Auckland is not merely a support provider but a facilitator of systemic change, advocating for equitable access to learning for all students."</w:t>
      </w:r>
    </w:p>
    <w:p>
      <w:pPr>
        <w:pStyle w:val="BodyText"/>
      </w:pPr>
      <w:r>
        <w:t xml:space="preserve">"</w:t>
      </w:r>
    </w:p>
    <w:bookmarkEnd w:id="22"/>
    <w:bookmarkStart w:id="23" w:name="theoretical-framework-and-methodology"/>
    <w:p>
      <w:pPr>
        <w:pStyle w:val="Heading3"/>
      </w:pPr>
      <w:r>
        <w:t xml:space="preserve">Theoretical Framework and Methodology</w:t>
      </w:r>
    </w:p>
    <w:p>
      <w:pPr>
        <w:pStyle w:val="FirstParagraph"/>
      </w:pPr>
      <w:r>
        <w:t xml:space="preserve">"</w:t>
      </w:r>
    </w:p>
    <w:p>
      <w:pPr>
        <w:pStyle w:val="BodyText"/>
      </w:pPr>
      <w:r>
        <w:t xml:space="preserve">"This presentation adopts a qualitative case-study approach, drawing upon data collected from three diverse secondary schools in the Auckland region. The framework is grounded in Vygotsky’s Sociocultural Theory and the *Universal Design for Learning* (UDL) principles. UDL is particularly relevant to the New Zealand context as it encourages educators to anticipate variability among learners rather than retrofitting solutions after exclusion occurs.</w:t>
      </w:r>
    </w:p>
    <w:p>
      <w:pPr>
        <w:pStyle w:val="BodyText"/>
      </w:pPr>
      <w:r>
        <w:t xml:space="preserve">"</w:t>
      </w:r>
    </w:p>
    <w:p>
      <w:pPr>
        <w:pStyle w:val="BodyText"/>
      </w:pPr>
      <w:r>
        <w:t xml:space="preserve">"Data was gathered through semi-structured interviews with 15 Special Education Teachers, classroom observations, and document analysis of Individual Learning Plans (ILPs). The study specifically targets the Auckland region due to its distinct challenges: a high proportion of students from Pasifika and Māori backgrounds, who are disproportionately represented in special education statistics. The methodology seeks to understand how cultural responsiveness (*Kaupapa Māori* and *Te Tiriti o Waitangi* obligations) influences instructional strategies employed by SETs."</w:t>
      </w:r>
    </w:p>
    <w:p>
      <w:pPr>
        <w:pStyle w:val="BodyText"/>
      </w:pPr>
      <w:r>
        <w:t xml:space="preserve">"</w:t>
      </w:r>
    </w:p>
    <w:bookmarkEnd w:id="23"/>
    <w:bookmarkStart w:id="24" w:name="X245d5802893df44804a58b128d63e3758e2b27a"/>
    <w:p>
      <w:pPr>
        <w:pStyle w:val="Heading3"/>
      </w:pPr>
      <w:r>
        <w:t xml:space="preserve">Key Findings: Challenges and Opportunities in Auckland</w:t>
      </w:r>
    </w:p>
    <w:p>
      <w:pPr>
        <w:pStyle w:val="FirstParagraph"/>
      </w:pPr>
      <w:r>
        <w:t xml:space="preserve">"</w:t>
      </w:r>
    </w:p>
    <w:p>
      <w:pPr>
        <w:numPr>
          <w:ilvl w:val="0"/>
          <w:numId w:val="1001"/>
        </w:numPr>
        <w:pStyle w:val="Compact"/>
      </w:pPr>
      <w:r>
        <w:rPr>
          <w:bCs/>
          <w:b/>
        </w:rPr>
        <w:t xml:space="preserve">Cultural Responsiveness:</w:t>
      </w:r>
      <w:r>
        <w:t xml:space="preserve"> </w:t>
      </w:r>
      <w:r>
        <w:t xml:space="preserve">Effective SETs in Auckland demonstrate high levels of cultural capability. They actively collaborate with whānau (families) and community leaders to ensure that educational goals align with cultural values. The findings indicate that when SETs incorporate Tikanga Māori and Pasifika learning styles into intervention plans, student engagement increases significantly.</w:t>
      </w:r>
    </w:p>
    <w:p>
      <w:pPr>
        <w:numPr>
          <w:ilvl w:val="0"/>
          <w:numId w:val="1001"/>
        </w:numPr>
        <w:pStyle w:val="Compact"/>
      </w:pPr>
      <w:r>
        <w:rPr>
          <w:bCs/>
          <w:b/>
        </w:rPr>
        <w:t xml:space="preserve">The Resource Gap:</w:t>
      </w:r>
      <w:r>
        <w:t xml:space="preserve"> </w:t>
      </w:r>
      <w:r>
        <w:t xml:space="preserve">Despite policy commitments to inclusion, Auckland schools face resource constraints. Teachers reported high workloads due to inadequate staffing ratios for complex needs. There is a pressing need for increased funding allocation specifically targeted at the growing number of students with undiagnosed learning difficulties in urban centers.</w:t>
      </w:r>
    </w:p>
    <w:p>
      <w:pPr>
        <w:numPr>
          <w:ilvl w:val="0"/>
          <w:numId w:val="1001"/>
        </w:numPr>
        <w:pStyle w:val="Compact"/>
      </w:pPr>
      <w:r>
        <w:rPr>
          <w:bCs/>
          <w:b/>
        </w:rPr>
        <w:t xml:space="preserve">Collaborative Models:</w:t>
      </w:r>
      <w:r>
        <w:t xml:space="preserve"> </w:t>
      </w:r>
      <w:r>
        <w:t xml:space="preserve">The most successful interventions observed were those involving co-teaching models between classroom teachers and Special Education Teachers. This collaborative approach reduces stigma and promotes a shared responsibility for student outcomes, aligning with the *Inclusive Practice* guidelines issued by the Ministry of Education.</w:t>
      </w:r>
    </w:p>
    <w:p>
      <w:pPr>
        <w:pStyle w:val="FirstParagraph"/>
      </w:pPr>
      <w:r>
        <w:t xml:space="preserve">"</w:t>
      </w:r>
    </w:p>
    <w:bookmarkEnd w:id="24"/>
    <w:bookmarkStart w:id="25" w:name="implications-for-policy-and-practice"/>
    <w:p>
      <w:pPr>
        <w:pStyle w:val="Heading3"/>
      </w:pPr>
      <w:r>
        <w:t xml:space="preserve">Implications for Policy and Practice</w:t>
      </w:r>
    </w:p>
    <w:p>
      <w:pPr>
        <w:pStyle w:val="FirstParagraph"/>
      </w:pPr>
      <w:r>
        <w:t xml:space="preserve">"</w:t>
      </w:r>
    </w:p>
    <w:p>
      <w:pPr>
        <w:pStyle w:val="BodyText"/>
      </w:pPr>
      <w:r>
        <w:t xml:space="preserve">"The transition to inclusive education in Auckland requires more than just curricular adjustments; it demands a fundamental rethinking of professional roles. For Special Education Teachers, this means moving away from pull-out services toward embedded support within mainstream classrooms. Policymakers must address the systemic barriers that prevent true inclusion, including assessment practices that often fail to recognize neurodiversity and cultural diversity.</w:t>
      </w:r>
    </w:p>
    <w:p>
      <w:pPr>
        <w:pStyle w:val="BodyText"/>
      </w:pPr>
      <w:r>
        <w:t xml:space="preserve">"</w:t>
      </w:r>
    </w:p>
    <w:p>
      <w:pPr>
        <w:pStyle w:val="BodyText"/>
      </w:pPr>
      <w:r>
        <w:t xml:space="preserve">Furthermore, teacher education programs in New Zealand universities must enhance their focus on differentiation and behavioral support. Pre-service teachers need practical training in managing diverse classrooms before they enter the workforce. For current SETs in Auckland, ongoing professional development should emphasize trauma-informed care, as many students face socioeconomic hardships that impact their learning capacity.</w:t>
      </w:r>
    </w:p>
    <w:p>
      <w:pPr>
        <w:pStyle w:val="BodyText"/>
      </w:pPr>
      <w:r>
        <w:t xml:space="preserve">"</w:t>
      </w:r>
    </w:p>
    <w:p>
      <w:pPr>
        <w:pStyle w:val="BodyText"/>
      </w:pPr>
      <w:r>
        <w:t xml:space="preserve">The implementation of *Te Tiriti o Waitangi* is not optional but a legal and ethical imperative. SETs must be equipped to decolonize special education practices that have historically pathologized Māori and Pasifika learners. By centering indigenous knowledge systems, Auckland’s education system can become a global leader in equitable pedagogy.</w:t>
      </w:r>
    </w:p>
    <w:p>
      <w:pPr>
        <w:pStyle w:val="BodyText"/>
      </w:pPr>
      <w:r>
        <w:t xml:space="preserve">"</w:t>
      </w:r>
    </w:p>
    <w:bookmarkEnd w:id="25"/>
    <w:bookmarkStart w:id="26" w:name="X0ade49bb1b4601da36949649a4932663fc0765c"/>
    <w:p>
      <w:pPr>
        <w:pStyle w:val="Heading3"/>
      </w:pPr>
      <w:r>
        <w:t xml:space="preserve">Auckland at a Glance: The Urgency for Action</w:t>
      </w:r>
    </w:p>
    <w:p>
      <w:pPr>
        <w:pStyle w:val="FirstParagraph"/>
      </w:pPr>
      <w:r>
        <w:t xml:space="preserve">"</w:t>
      </w:r>
    </w:p>
    <w:p>
      <w:pPr>
        <w:pStyle w:val="BodyText"/>
      </w:pPr>
      <w:r>
        <w:rPr>
          <w:bCs/>
          <w:b/>
        </w:rPr>
        <w:t xml:space="preserve">45%</w:t>
      </w:r>
      <w:r>
        <w:t xml:space="preserve"> </w:t>
      </w:r>
      <w:r>
        <w:t xml:space="preserve">of students in Auckland’s state schools identify as Māori or Pasifika, highlighting the need for culturally responsive support systems.</w:t>
      </w:r>
    </w:p>
    <w:p>
      <w:pPr>
        <w:pStyle w:val="BodyText"/>
      </w:pPr>
      <w:r>
        <w:t xml:space="preserve">"</w:t>
      </w:r>
    </w:p>
    <w:p>
      <w:pPr>
        <w:pStyle w:val="BodyText"/>
      </w:pPr>
      <w:r>
        <w:rPr>
          <w:bCs/>
          <w:b/>
        </w:rPr>
        <w:t xml:space="preserve">20% increase</w:t>
      </w:r>
      <w:r>
        <w:t xml:space="preserve"> </w:t>
      </w:r>
      <w:r>
        <w:t xml:space="preserve">in referrals for learning support needs has been recorded in urban Auckland districts over the last five years.</w:t>
      </w:r>
    </w:p>
    <w:p>
      <w:pPr>
        <w:pStyle w:val="BodyText"/>
      </w:pPr>
      <w:r>
        <w:t xml:space="preserve">"</w:t>
      </w:r>
    </w:p>
    <w:p>
      <w:pPr>
        <w:pStyle w:val="BodyText"/>
      </w:pPr>
      <w:r>
        <w:rPr>
          <w:bCs/>
          <w:b/>
        </w:rPr>
        <w:t xml:space="preserve">$1.2 billion</w:t>
      </w:r>
      <w:r>
        <w:t xml:space="preserve"> </w:t>
      </w:r>
      <w:r>
        <w:t xml:space="preserve">allocated by the New Zealand government to inclusive education initiatives, yet local implementation varies significantly by school decile.</w:t>
      </w:r>
    </w:p>
    <w:p>
      <w:pPr>
        <w:pStyle w:val="BodyText"/>
      </w:pPr>
      <w:r>
        <w:t xml:space="preserve">"</w:t>
      </w:r>
    </w:p>
    <w:bookmarkEnd w:id="26"/>
    <w:p>
      <w:pPr>
        <w:pStyle w:val="BodyText"/>
      </w:pPr>
      <w:r>
        <w:t xml:space="preserve">"</w:t>
      </w:r>
    </w:p>
    <w:bookmarkStart w:id="27" w:name="conclusion-and-future-directions"/>
    <w:p>
      <w:pPr>
        <w:pStyle w:val="Heading3"/>
      </w:pPr>
      <w:r>
        <w:t xml:space="preserve">Conclusion and Future Directions</w:t>
      </w:r>
    </w:p>
    <w:p>
      <w:pPr>
        <w:pStyle w:val="FirstParagraph"/>
      </w:pPr>
      <w:r>
        <w:t xml:space="preserve">"</w:t>
      </w:r>
    </w:p>
    <w:p>
      <w:pPr>
        <w:pStyle w:val="BodyText"/>
      </w:pPr>
      <w:r>
        <w:t xml:space="preserve">In conclusion, the role of the Special Education Teacher in Auckland is pivotal to realizing the vision of an inclusive New Zealand. It is no longer sufficient to view special education as a separate entity; it must be woven into the fabric of every classroom. The findings from this presentation underscore that successful inclusion relies on collaboration, cultural competence, and adequate resource allocation.</w:t>
      </w:r>
    </w:p>
    <w:p>
      <w:pPr>
        <w:pStyle w:val="BodyText"/>
      </w:pPr>
      <w:r>
        <w:t xml:space="preserve">"</w:t>
      </w:r>
    </w:p>
    <w:p>
      <w:pPr>
        <w:pStyle w:val="BodyText"/>
      </w:pPr>
      <w:r>
        <w:t xml:space="preserve">Future research should longitudinaly track the outcomes of students supported by co-teaching models in Auckland. Additionally, there is a need to develop digital tools that support SETs in tracking progress and communicating with diverse families. By embracing these changes, New Zealand can ensure that every child, regardless of ability or background, has the opportunity to thrive.</w:t>
      </w:r>
    </w:p>
    <w:p>
      <w:pPr>
        <w:pStyle w:val="BodyText"/>
      </w:pPr>
      <w:r>
        <w:t xml:space="preserve">"</w:t>
      </w:r>
    </w:p>
    <w:p>
      <w:pPr>
        <w:pStyle w:val="BodyText"/>
      </w:pPr>
      <w:r>
        <w:rPr>
          <w:iCs/>
          <w:i/>
        </w:rPr>
        <w:t xml:space="preserve">We call upon educators, policymakers, and communities in Auckland to unite in this endeavor. The future of education is inclusive.</w:t>
      </w:r>
    </w:p>
    <w:p>
      <w:pPr>
        <w:pStyle w:val="BodyText"/>
      </w:pPr>
      <w:r>
        <w:t xml:space="preserve">"</w:t>
      </w:r>
    </w:p>
    <w:bookmarkEnd w:id="27"/>
    <w:p>
      <w:pPr>
        <w:pStyle w:val="BodyText"/>
      </w:pPr>
      <w:r>
        <w:t xml:space="preserve">"</w:t>
      </w:r>
    </w:p>
    <w:p>
      <w:pPr>
        <w:pStyle w:val="BodyText"/>
      </w:pPr>
      <w:r>
        <w:t xml:space="preserve">"</w:t>
      </w:r>
    </w:p>
    <w:p>
      <w:pPr>
        <w:pStyle w:val="BodyText"/>
      </w:pPr>
      <w:r>
        <w:t xml:space="preserve">© 2023 Academic Poster Presentation | Special Education Research Unit | University of Auckland</w:t>
      </w:r>
    </w:p>
    <w:p>
      <w:pPr>
        <w:pStyle w:val="BodyText"/>
      </w:pPr>
      <w:r>
        <w:t xml:space="preserve">"</w:t>
      </w:r>
    </w:p>
    <w:p>
      <w:pPr>
        <w:pStyle w:val="BodyText"/>
      </w:pPr>
      <w:r>
        <w:t xml:space="preserve">Contact: research.special.ed@auckland.ac.nz</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Auckland</dc:title>
  <dc:creator/>
  <dc:language>en</dc:language>
  <cp:keywords/>
  <dcterms:created xsi:type="dcterms:W3CDTF">2026-07-30T10:10:24Z</dcterms:created>
  <dcterms:modified xsi:type="dcterms:W3CDTF">2026-07-30T10:10:24Z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