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Moscow</w:t>
      </w:r>
    </w:p>
    <w:bookmarkStart w:id="20" w:name="Xf495998e4368a16c86a35e84227d77b5b96b9fc"/>
    <w:p>
      <w:pPr>
        <w:pStyle w:val="Heading1"/>
      </w:pPr>
      <w:r>
        <w:t xml:space="preserve">Bridging the Gap: Enhancing Inclusion for Special Education Teachers in Russia, Moscow</w:t>
      </w:r>
    </w:p>
    <w:p>
      <w:pPr>
        <w:pStyle w:val="FirstParagraph"/>
      </w:pPr>
      <w:r>
        <w:rPr>
          <w:bCs/>
          <w:b/>
        </w:rPr>
        <w:t xml:space="preserve">A Strategic Framework for Modernizing Pedagogy and Systemic Support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Special Education in Moscow</dc:title>
  <dc:creator/>
  <dc:language>en</dc:language>
  <cp:keywords/>
  <dcterms:created xsi:type="dcterms:W3CDTF">2026-09-28T14:39:25Z</dcterms:created>
  <dcterms:modified xsi:type="dcterms:W3CDTF">2026-09-28T14:39:25Z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