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4" w:name="Xa96bae05eba523c1f8e7c2c799a6b9eccfc3d10"/>
    <w:p>
      <w:pPr>
        <w:pStyle w:val="Heading1"/>
      </w:pPr>
      <w:r>
        <w:t xml:space="preserve">Poster Presentation Academic Document: Special Education Teacher in Saudi Arabia Jeddah</w:t>
      </w:r>
    </w:p>
    <w:bookmarkStart w:id="33" w:name="mainContainer"/>
    <w:bookmarkStart w:id="26" w:name="abstractSection"/>
    <w:bookmarkStart w:id="20" w:name="abstract"/>
    <w:p>
      <w:pPr>
        <w:pStyle w:val="Heading3"/>
      </w:pPr>
      <w:r>
        <w:t xml:space="preserve">Abstract</w:t>
      </w:r>
    </w:p>
    <w:p>
      <w:pPr>
        <w:pStyle w:val="FirstParagraph"/>
      </w:pPr>
      <w:r>
        <w:rPr>
          <w:bCs/>
          <w:b/>
        </w:rPr>
        <w:t xml:space="preserve">Purpose:</w:t>
      </w:r>
      <w:r>
        <w:t xml:space="preserve"> </w:t>
      </w:r>
      <w:r>
        <w:t xml:space="preserve">To explore the evolving role of Special Education Teachers (SETs) within the rapidly transforming educational landscape of Saudi Arabia, specifically focusing on Jeddah. With Vision 2030 prioritizing inclusive education and social development, understanding how SETs adapt to cultural nuances while implementing international pedagogical standards is crucial for enhancing student outcomes.</w:t>
      </w:r>
    </w:p>
    <w:bookmarkEnd w:id="20"/>
    <w:bookmarkStart w:id="21" w:name="background"/>
    <w:p>
      <w:pPr>
        <w:pStyle w:val="Heading3"/>
      </w:pPr>
      <w:r>
        <w:t xml:space="preserve">Background</w:t>
      </w:r>
    </w:p>
    <w:p>
      <w:pPr>
        <w:pStyle w:val="FirstParagraph"/>
      </w:pPr>
      <w:r>
        <w:t xml:space="preserve">Saudi Arabia has made significant strides in modernizing its education system under Vision 2030. Jeddah, as a major economic hub and gateway to Makkah, serves as a microcosm for these educational reforms. The city is witnessing an influx of expatriate families alongside local Saudi nationals, creating diverse classrooms that require specialized support. Special Education Teachers in Jeddah play pivotal roles not only in academic instruction but also in bridging cultural gaps and ensuring compliance with Ministry of Education (MoE) regulations regarding inclusion.</w:t>
      </w:r>
    </w:p>
    <w:bookmarkEnd w:id="21"/>
    <w:bookmarkStart w:id="22" w:name="problem-statement"/>
    <w:p>
      <w:pPr>
        <w:pStyle w:val="Heading3"/>
      </w:pPr>
      <w:r>
        <w:t xml:space="preserve">Problem Statement</w:t>
      </w:r>
    </w:p>
    <w:p>
      <w:pPr>
        <w:pStyle w:val="FirstParagraph"/>
      </w:pPr>
      <w:r>
        <w:t xml:space="preserve">Despite policy advancements, there remains a gap between theoretical frameworks of inclusive education practiced globally and their practical implementation in local schools. Furthermore, the unique socio-cultural context of Jeddah presents distinct challenges for Special Education Teachers who must navigate traditional values while promoting progressive disability rights.</w:t>
      </w:r>
    </w:p>
    <w:bookmarkEnd w:id="22"/>
    <w:bookmarkStart w:id="23" w:name="methodology"/>
    <w:p>
      <w:pPr>
        <w:pStyle w:val="Heading3"/>
      </w:pPr>
      <w:r>
        <w:t xml:space="preserve">Methodology</w:t>
      </w:r>
    </w:p>
    <w:p>
      <w:pPr>
        <w:pStyle w:val="FirstParagraph"/>
      </w:pPr>
      <w:r>
        <w:t xml:space="preserve">This study employs a mixed-methods approach involving surveys distributed to 150 Special Education Teachers across three international and five public schools in Jeddah. Semi-structured interviews were conducted with 20 key stakeholders, including school principals and parents of children with special needs. Data analysis utilized thematic coding to identify common barriers and facilitators.</w:t>
      </w:r>
    </w:p>
    <w:bookmarkEnd w:id="23"/>
    <w:bookmarkStart w:id="24" w:name="results"/>
    <w:p>
      <w:pPr>
        <w:pStyle w:val="Heading3"/>
      </w:pPr>
      <w:r>
        <w:t xml:space="preserve">Results</w:t>
      </w:r>
    </w:p>
    <w:p>
      <w:pPr>
        <w:numPr>
          <w:ilvl w:val="0"/>
          <w:numId w:val="1001"/>
        </w:numPr>
        <w:pStyle w:val="Compact"/>
      </w:pPr>
      <w:r>
        <w:rPr>
          <w:bCs/>
          <w:b/>
        </w:rPr>
        <w:t xml:space="preserve">Cultural Sensitivity:</w:t>
      </w:r>
      <w:r>
        <w:t xml:space="preserve"> </w:t>
      </w:r>
      <w:r>
        <w:t xml:space="preserve">78% of respondents indicated that adapting teaching materials to respect Islamic cultural norms was essential for engagement.</w:t>
      </w:r>
    </w:p>
    <w:p>
      <w:pPr>
        <w:numPr>
          <w:ilvl w:val="0"/>
          <w:numId w:val="1001"/>
        </w:numPr>
        <w:pStyle w:val="Compact"/>
      </w:pPr>
      <w:r>
        <w:rPr>
          <w:bCs/>
          <w:b/>
        </w:rPr>
        <w:t xml:space="preserve">Professional Development:</w:t>
      </w:r>
      <w:r>
        <w:t xml:space="preserve"> </w:t>
      </w:r>
      <w:r>
        <w:t xml:space="preserve">Only 40% felt adequately trained in the latest Assistive Technologies (ATs).</w:t>
      </w:r>
    </w:p>
    <w:p>
      <w:pPr>
        <w:numPr>
          <w:ilvl w:val="0"/>
          <w:numId w:val="1001"/>
        </w:numPr>
        <w:pStyle w:val="Compact"/>
      </w:pPr>
      <w:r>
        <w:rPr>
          <w:bCs/>
          <w:b/>
        </w:rPr>
        <w:t xml:space="preserve">Policy Gaps:</w:t>
      </w:r>
      <w:r>
        <w:t xml:space="preserve">A significant discrepancy exists between national inclusion policies and resource allocation in public institutions compared to private sectors.</w:t>
      </w:r>
    </w:p>
    <w:bookmarkEnd w:id="24"/>
    <w:bookmarkStart w:id="25" w:name="drawing-on-visual-evidence"/>
    <w:p>
      <w:pPr>
        <w:pStyle w:val="Heading3"/>
      </w:pPr>
      <w:r>
        <w:t xml:space="preserve">Drawing on Visual Evidence</w:t>
      </w:r>
    </w:p>
    <w:p>
      <w:pPr>
        <w:pStyle w:val="FirstParagraph"/>
      </w:pPr>
      <w:r>
        <w:t xml:space="preserve">[Figure 1 Placeholder: Graph showing the percentage of Special Education Teachers in Jeddah with varying levels of training in Inclusive Pedagogy]</w:t>
      </w:r>
      <w:r>
        <w:br/>
      </w:r>
      <w:r>
        <w:rPr>
          <w:iCs/>
          <w:i/>
        </w:rPr>
        <w:t xml:space="preserve">Note: Insert appropriate graph/chart here depicting survey findings.</w:t>
      </w:r>
    </w:p>
    <w:bookmarkEnd w:id="25"/>
    <w:bookmarkEnd w:id="26"/>
    <w:bookmarkStart w:id="30" w:name="conclusionSection"/>
    <w:bookmarkStart w:id="27" w:name="conclusion"/>
    <w:p>
      <w:pPr>
        <w:pStyle w:val="Heading3"/>
      </w:pPr>
      <w:r>
        <w:t xml:space="preserve">Conclusion</w:t>
      </w:r>
    </w:p>
    <w:p>
      <w:pPr>
        <w:pStyle w:val="FirstParagraph"/>
      </w:pPr>
      <w:r>
        <w:t xml:space="preserve">The findings suggest that while there is growing recognition for Special Education in Jeddah, systemic support structures need reinforcement. Collaborative efforts between government bodies, private institutions, and international experts can drive sustainable improvements. Future research should focus on longitudinal studies assessing the impact of specific interventions tailored to the Saudi context.</w:t>
      </w:r>
    </w:p>
    <w:bookmarkEnd w:id="27"/>
    <w:bookmarkStart w:id="28" w:name="implications-for-practice"/>
    <w:p>
      <w:pPr>
        <w:pStyle w:val="Heading3"/>
      </w:pPr>
      <w:r>
        <w:t xml:space="preserve">Implications for Practice</w:t>
      </w:r>
    </w:p>
    <w:p>
      <w:pPr>
        <w:numPr>
          <w:ilvl w:val="0"/>
          <w:numId w:val="1002"/>
        </w:numPr>
        <w:pStyle w:val="Compact"/>
      </w:pPr>
      <w:r>
        <w:rPr>
          <w:bCs/>
          <w:b/>
        </w:rPr>
        <w:t xml:space="preserve">Mentorship Programs:</w:t>
      </w:r>
    </w:p>
    <w:p>
      <w:pPr>
        <w:numPr>
          <w:ilvl w:val="0"/>
          <w:numId w:val="1002"/>
        </w:numPr>
        <w:pStyle w:val="Compact"/>
      </w:pPr>
      <w:r>
        <w:rPr>
          <w:bCs/>
          <w:b/>
        </w:rPr>
        <w:t xml:space="preserve">Tech Integration:</w:t>
      </w:r>
    </w:p>
    <w:bookmarkEnd w:id="28"/>
    <w:bookmarkStart w:id="29" w:name="acknowledgments"/>
    <w:p>
      <w:pPr>
        <w:pStyle w:val="Heading3"/>
      </w:pPr>
      <w:r>
        <w:t xml:space="preserve">Acknowledgments</w:t>
      </w:r>
    </w:p>
    <w:p>
      <w:pPr>
        <w:pStyle w:val="FirstParagraph"/>
      </w:pPr>
      <w:r>
        <w:t xml:space="preserve">We extend our gratitude to the participating schools in Jeddah and the Ministry of Education for facilitating this research project. Special thanks to Dr. Ahmed Al-Saud for his guidance on cultural protocols during data collection phases.</w:t>
      </w:r>
    </w:p>
    <w:bookmarkEnd w:id="29"/>
    <w:bookmarkEnd w:id="30"/>
    <w:bookmarkStart w:id="32" w:name="referencesSection"/>
    <w:bookmarkStart w:id="31" w:name="references"/>
    <w:p>
      <w:pPr>
        <w:pStyle w:val="Heading3"/>
      </w:pPr>
      <w:r>
        <w:t xml:space="preserve">References</w:t>
      </w:r>
    </w:p>
    <w:p>
      <w:pPr>
        <w:numPr>
          <w:ilvl w:val="0"/>
          <w:numId w:val="1003"/>
        </w:numPr>
        <w:pStyle w:val="Compact"/>
      </w:pPr>
      <w:r>
        <w:t xml:space="preserve">King Abdulaziz City for Science and Technology. (2021). *National Strategy for Persons with Disabilities in Saudi Arabia*. Riyadh: KACST.</w:t>
      </w:r>
    </w:p>
    <w:p>
      <w:pPr>
        <w:numPr>
          <w:ilvl w:val="0"/>
          <w:numId w:val="1003"/>
        </w:numPr>
        <w:pStyle w:val="Compact"/>
      </w:pPr>
      <w:r>
        <w:t xml:space="preserve">Mohammed, S., &amp; Ali, R. (2023). "Inclusive Education Trends in the Gulf Region." *Journal of Middle East Educational Research*, 14(2), 45-67.</w:t>
      </w:r>
    </w:p>
    <w:p>
      <w:pPr>
        <w:numPr>
          <w:ilvl w:val="0"/>
          <w:numId w:val="1003"/>
        </w:numPr>
        <w:pStyle w:val="Compact"/>
      </w:pPr>
      <w:r>
        <w:t xml:space="preserve">Vision 2030 Foundation. (n.d.). *Human Capability Development Program*. Retrieved from vision2030.gov.sa</w:t>
      </w:r>
    </w:p>
    <w:bookmarkEnd w:id="31"/>
    <w:bookmarkEnd w:id="32"/>
    <w:p>
      <w:pPr>
        <w:pStyle w:val="FirstParagraph"/>
      </w:pPr>
      <w:r>
        <w:rPr>
          <w:iCs/>
          <w:i/>
        </w:rPr>
        <w:t xml:space="preserve">This poster presentation was prepared for academic dissemination purposes.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in Saudi Arabia Jeddah</dc:title>
  <dc:creator/>
  <dc:language>en</dc:language>
  <cp:keywords/>
  <dcterms:created xsi:type="dcterms:W3CDTF">2026-07-29T15:36:05Z</dcterms:created>
  <dcterms:modified xsi:type="dcterms:W3CDTF">2026-07-29T15:36:05Z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