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Cape</w:t>
      </w:r>
      <w:r>
        <w:t xml:space="preserve"> </w:t>
      </w:r>
      <w:r>
        <w:t xml:space="preserve">Town</w:t>
      </w:r>
    </w:p>
    <w:p>
      <w:pPr>
        <w:pStyle w:val="FirstParagraph"/>
      </w:pPr>
      <w:r>
        <w:t xml:space="preserve">/* Defines the main title area of the poster with high contrast for impact */ /* Standard academic poster convention to capture attention immediately */</w:t>
      </w:r>
    </w:p>
    <w:bookmarkStart w:id="20" w:name="X0c2e5b8a24dbcb37e6946cc24138d18834d6da7"/>
    <w:p>
      <w:pPr>
        <w:pStyle w:val="Heading1"/>
      </w:pPr>
      <w:r>
        <w:t xml:space="preserve">Educating Every Learner in the Mother City: A Framework for Special Education Teachers</w:t>
      </w:r>
    </w:p>
    <w:p>
      <w:pPr>
        <w:pStyle w:val="FirstParagraph"/>
      </w:pPr>
      <w:r>
        <w:t xml:space="preserve">Navigating Policy, Pedagogy, and Community in South Africa Cape Town</w:t>
      </w:r>
    </w:p>
    <w:bookmarkEnd w:id="20"/>
    <w:p>
      <w:pPr>
        <w:pStyle w:val="BodyText"/>
      </w:pPr>
      <w:r>
        <w:t xml:space="preserve">/* Centralized author block typical of academic posters for immediate attribution */ /* Provides professional context for the research presented*/</w:t>
      </w:r>
    </w:p>
    <w:p>
      <w:pPr>
        <w:pStyle w:val="BodyText"/>
      </w:pPr>
      <w:r>
        <w:rPr>
          <w:bCs/>
          <w:b/>
        </w:rPr>
        <w:t xml:space="preserve">Presented by:</w:t>
      </w:r>
      <w:r>
        <w:t xml:space="preserve"> </w:t>
      </w:r>
      <w:r>
        <w:t xml:space="preserve">[Your Name/Researcher Name]</w:t>
      </w:r>
    </w:p>
    <w:p>
      <w:pPr>
        <w:pStyle w:val="BodyText"/>
      </w:pPr>
      <w:r>
        <w:rPr>
          <w:bCs/>
          <w:b/>
        </w:rPr>
        <w:t xml:space="preserve">Institution:</w:t>
      </w:r>
      <w:r>
        <w:t xml:space="preserve"> </w:t>
      </w:r>
      <w:r>
        <w:t xml:space="preserve">University of Cape Town / Department of Education</w:t>
      </w:r>
    </w:p>
    <w:p>
      <w:pPr>
        <w:pStyle w:val="BodyText"/>
      </w:pPr>
      <w:r>
        <w:t xml:space="preserve">/* Divides the poster into two distinct reading columns for logical flow */ /* Mimics traditional academic conference poster layouts*/</w:t>
      </w:r>
    </w:p>
    <w:p>
      <w:pPr>
        <w:pStyle w:val="BodyText"/>
      </w:pPr>
      <w:r>
        <w:t xml:space="preserve">/* Contains Introduction, Context, and Methodology */ /* Guides the reader through the background of the study*/</w:t>
      </w:r>
    </w:p>
    <w:p>
      <w:pPr>
        <w:pStyle w:val="BodyText"/>
      </w:pPr>
      <w:r>
        <w:t xml:space="preserve">/* Boxes create clear visual boundaries for different sections */ /* Enhances scannability for conference attendees*/</w:t>
      </w:r>
    </w:p>
    <w:bookmarkStart w:id="21" w:name="abstract"/>
    <w:p>
      <w:pPr>
        <w:pStyle w:val="Heading3"/>
      </w:pPr>
      <w:r>
        <w:t xml:space="preserve">Abstract</w:t>
      </w:r>
    </w:p>
    <w:p>
      <w:pPr>
        <w:pStyle w:val="FirstParagraph"/>
      </w:pPr>
      <w:r>
        <w:t xml:space="preserve">/* Standard heading for summary section */ /* Sets expectations for the content that follows*/</w:t>
      </w:r>
      <w:r>
        <w:t xml:space="preserve"> </w:t>
      </w:r>
      <w:r>
        <w:t xml:space="preserve">The implementation of inclusive education in South Africa requires a highly skilled workforce capable of navigating complex socio-economic and policy landscapes. This poster presentation explores the evolving role of the Special Education Teacher within South Africa Cape Town. While national policies such as White Paper 6 provide a robust framework for inclusion, local implementation varies significantly due to resource disparities and community dynamics specific to Cape Town. This study investigates how Special Education Teachers adapt their pedagogical strategies to meet diverse learner needs in both urban and peri-urban contexts of the Mother City. By analyzing teacher experiences, policy alignment, and community engagement, this presentation proposes a model for effective special education practice that honors local cultural nuances while adhering to international standards of inclusivity.</w:t>
      </w:r>
    </w:p>
    <w:bookmarkEnd w:id="21"/>
    <w:p>
      <w:pPr>
        <w:pStyle w:val="BodyText"/>
      </w:pPr>
      <w:r>
        <w:t xml:space="preserve">/* Introduces the problem statement and background */ /* Establishes relevance of the study to current educational debates*/</w:t>
      </w:r>
    </w:p>
    <w:bookmarkStart w:id="22" w:name="introduction-and-local-context"/>
    <w:p>
      <w:pPr>
        <w:pStyle w:val="Heading3"/>
      </w:pPr>
      <w:r>
        <w:t xml:space="preserve">Introduction and Local Context</w:t>
      </w:r>
    </w:p>
    <w:p>
      <w:pPr>
        <w:pStyle w:val="FirstParagraph"/>
      </w:pPr>
      <w:r>
        <w:t xml:space="preserve">/* Headings guide the eye through key themes */ /* Ensures logical progression of ideas*/</w:t>
      </w:r>
      <w:r>
        <w:t xml:space="preserve"> </w:t>
      </w:r>
      <w:r>
        <w:t xml:space="preserve">South Africa has been a pioneer in inclusive education policy since 2001, yet the gap between policy intent and classroom reality remains wide. In South Africa Cape Town, this challenge is compounded by a unique historical geography of inequality. The city serves as a microcosm of national struggles, with high-resource private schools existing alongside under-resourced public schools in townships like Khayelitsha and Mitchell’s Plain.</w:t>
      </w:r>
      <w:r>
        <w:t xml:space="preserve"> </w:t>
      </w:r>
      <w:r>
        <w:t xml:space="preserve">Special Education Teachers in this region are not merely instructional leaders; they are advocates, counselors, and cultural brokers. They operate within a system where the term "Special Needs" is increasingly being replaced by "Barriers to Learning," reflecting a shift towards systemic responsibility rather than individual deficit models. However, many educators report feeling ill-equipped to handle the multidimensional barriers presented by poverty, language diversity (including isiXhosa, Afrikaans, English, and other indigenous languages), and trauma-related learning difficulties prevalent in post-apartheid urban centers.</w:t>
      </w:r>
    </w:p>
    <w:bookmarkEnd w:id="22"/>
    <w:p>
      <w:pPr>
        <w:pStyle w:val="BodyText"/>
      </w:pPr>
      <w:r>
        <w:t xml:space="preserve">/* Describes how data was collected */ /* Adds scientific rigor to the poster presentation*/</w:t>
      </w:r>
    </w:p>
    <w:bookmarkStart w:id="23" w:name="research-methodology"/>
    <w:p>
      <w:pPr>
        <w:pStyle w:val="Heading3"/>
      </w:pPr>
      <w:r>
        <w:t xml:space="preserve">Research Methodology</w:t>
      </w:r>
    </w:p>
    <w:p>
      <w:pPr>
        <w:pStyle w:val="FirstParagraph"/>
      </w:pPr>
      <w:r>
        <w:t xml:space="preserve">/* Standard academic structure for validity and reliability discussion */ /* Demonstrates empirical basis of claims*/</w:t>
      </w:r>
      <w:r>
        <w:t xml:space="preserve"> </w:t>
      </w:r>
      <w:r>
        <w:t xml:space="preserve">This study employs a mixed-methods approach, combining quantitative surveys with qualitative interviews.</w:t>
      </w:r>
    </w:p>
    <w:p>
      <w:pPr>
        <w:numPr>
          <w:ilvl w:val="0"/>
          <w:numId w:val="1001"/>
        </w:numPr>
        <w:pStyle w:val="Compact"/>
      </w:pPr>
      <w:r>
        <w:rPr>
          <w:bCs/>
          <w:b/>
        </w:rPr>
        <w:t xml:space="preserve">Participants:</w:t>
      </w:r>
      <w:r>
        <w:t xml:space="preserve"> </w:t>
      </w:r>
      <w:r>
        <w:t xml:space="preserve">150 Special Education Teachers currently employed in public schools across the Cape Metropole.</w:t>
      </w:r>
    </w:p>
    <w:p>
      <w:pPr>
        <w:numPr>
          <w:ilvl w:val="0"/>
          <w:numId w:val="1001"/>
        </w:numPr>
        <w:pStyle w:val="Compact"/>
      </w:pPr>
      <w:r>
        <w:rPr>
          <w:bCs/>
          <w:b/>
        </w:rPr>
        <w:t xml:space="preserve">Data Collection:</w:t>
      </w:r>
      <w:r>
        <w:t xml:space="preserve"> </w:t>
      </w:r>
      <w:r>
        <w:t xml:space="preserve">Semi-structured interviews focused on challenges in resource acquisition, parent engagement, and curriculum adaptation.</w:t>
      </w:r>
    </w:p>
    <w:p>
      <w:pPr>
        <w:numPr>
          <w:ilvl w:val="0"/>
          <w:numId w:val="1001"/>
        </w:numPr>
        <w:pStyle w:val="Compact"/>
      </w:pPr>
      <w:r>
        <w:rPr>
          <w:bCs/>
          <w:b/>
        </w:rPr>
        <w:t xml:space="preserve">Analytical Framework:</w:t>
      </w:r>
      <w:r>
        <w:t xml:space="preserve"> </w:t>
      </w:r>
      <w:r>
        <w:t xml:space="preserve">Thematic analysis was conducted using Braun &amp; Clarke’s framework, focusing on identifying patterns related to policy implementation gaps.</w:t>
      </w:r>
    </w:p>
    <w:bookmarkEnd w:id="23"/>
    <w:p>
      <w:pPr>
        <w:pStyle w:val="FirstParagraph"/>
      </w:pPr>
      <w:r>
        <w:t xml:space="preserve">/* Contains Findings, Discussion, and Conclusion */ /* Completes the narrative arc of the research*/</w:t>
      </w:r>
    </w:p>
    <w:p>
      <w:pPr>
        <w:pStyle w:val="BodyText"/>
      </w:pPr>
      <w:r>
        <w:t xml:space="preserve">/* Presents the core results of the study */ /* Directly addresses the research questions*/</w:t>
      </w:r>
    </w:p>
    <w:bookmarkStart w:id="24" w:name="key-findings"/>
    <w:p>
      <w:pPr>
        <w:pStyle w:val="Heading3"/>
      </w:pPr>
      <w:r>
        <w:t xml:space="preserve">Key Findings</w:t>
      </w:r>
    </w:p>
    <w:p>
      <w:pPr>
        <w:pStyle w:val="FirstParagraph"/>
      </w:pPr>
      <w:r>
        <w:t xml:space="preserve">/* Concise heading for results section */ /* Highlights importance of empirical data*/</w:t>
      </w:r>
      <w:r>
        <w:t xml:space="preserve"> </w:t>
      </w:r>
      <w:r>
        <w:t xml:space="preserve">The analysis reveals three critical themes affecting Special Education Teachers in South Africa Cape Town:</w:t>
      </w:r>
    </w:p>
    <w:p>
      <w:pPr>
        <w:numPr>
          <w:ilvl w:val="0"/>
          <w:numId w:val="1002"/>
        </w:numPr>
        <w:pStyle w:val="Compact"/>
      </w:pPr>
      <w:r>
        <w:rPr>
          <w:bCs/>
          <w:b/>
        </w:rPr>
        <w:t xml:space="preserve">Resource Disparity:</w:t>
      </w:r>
      <w:r>
        <w:t xml:space="preserve"> </w:t>
      </w:r>
      <w:r>
        <w:t xml:space="preserve">65% of respondents reported significant delays in obtaining necessary assistive technologies and learning support materials, disproportionately affecting schools in lower-income areas.</w:t>
      </w:r>
    </w:p>
    <w:p>
      <w:pPr>
        <w:numPr>
          <w:ilvl w:val="0"/>
          <w:numId w:val="1002"/>
        </w:numPr>
        <w:pStyle w:val="Compact"/>
      </w:pPr>
      <w:r>
        <w:rPr>
          <w:bCs/>
          <w:b/>
        </w:rPr>
        <w:t xml:space="preserve">Cultural Responsiveness:</w:t>
      </w:r>
      <w:r>
        <w:t xml:space="preserve"> </w:t>
      </w:r>
      <w:r>
        <w:t xml:space="preserve">Teachers emphasized the need for curricula that reflect the local identity. There is a strong demand for "contextualized special education" that integrates indigenous knowledge systems alongside Western psychological frameworks.</w:t>
      </w:r>
    </w:p>
    <w:p>
      <w:pPr>
        <w:numPr>
          <w:ilvl w:val="0"/>
          <w:numId w:val="1002"/>
        </w:numPr>
        <w:pStyle w:val="Compact"/>
      </w:pPr>
      <w:r>
        <w:rPr>
          <w:bCs/>
          <w:b/>
        </w:rPr>
        <w:t xml:space="preserve">Burnout and Support:</w:t>
      </w:r>
      <w:r>
        <w:t xml:space="preserve"> </w:t>
      </w:r>
      <w:r>
        <w:t xml:space="preserve">High turnover rates were linked to a lack of administrative support from School-Based Support Teams (SBSTs). Many teachers felt isolated, describing their role as "heroic but unsustainable."</w:t>
      </w:r>
    </w:p>
    <w:bookmarkEnd w:id="24"/>
    <w:p>
      <w:pPr>
        <w:pStyle w:val="FirstParagraph"/>
      </w:pPr>
      <w:r>
        <w:t xml:space="preserve">/* Interprets the findings and connects them to theory */ /* Bridges the gap between data and practice*/</w:t>
      </w:r>
    </w:p>
    <w:bookmarkStart w:id="25" w:name="discussion-bridging-theory-and-practice"/>
    <w:p>
      <w:pPr>
        <w:pStyle w:val="Heading3"/>
      </w:pPr>
      <w:r>
        <w:t xml:space="preserve">Discussion: Bridging Theory and Practice</w:t>
      </w:r>
    </w:p>
    <w:p>
      <w:pPr>
        <w:pStyle w:val="FirstParagraph"/>
      </w:pPr>
      <w:r>
        <w:t xml:space="preserve">/* Academic heading for interpretive section */ /* Encourages critical thinking among viewers*/</w:t>
      </w:r>
      <w:r>
        <w:t xml:space="preserve"> </w:t>
      </w:r>
      <w:r>
        <w:t xml:space="preserve">The findings suggest that while White Paper 6 provides the legal backbone for inclusion, its muscular support—specifically professional development and resource allocation—is uneven. In the context of South Africa Cape Town, effective Special Education Teaching requires more than pedagogical skill; it demands socio-emotional resilience and community navigation skills.</w:t>
      </w:r>
      <w:r>
        <w:t xml:space="preserve"> </w:t>
      </w:r>
      <w:r>
        <w:t xml:space="preserve">Current training programs often fail to prepare teachers for the specific trauma-informed care needs arising from systemic inequality in the Western Cape. Furthermore, language barriers remain a significant obstacle. A teacher trained primarily in English-medium pedagogy may struggle to effectively assess learners who are more proficient in isiXhosa or Afrikaans, leading to misdiagnosis and inappropriate placement recommendations.</w:t>
      </w:r>
    </w:p>
    <w:bookmarkEnd w:id="25"/>
    <w:p>
      <w:pPr>
        <w:pStyle w:val="BodyText"/>
      </w:pPr>
      <w:r>
        <w:t xml:space="preserve">/* Summarizes the main points and offers actionable advice */ /* Leaves a lasting impression on the audience*/</w:t>
      </w:r>
    </w:p>
    <w:bookmarkStart w:id="26" w:name="conclusion-and-recommendations"/>
    <w:p>
      <w:pPr>
        <w:pStyle w:val="Heading3"/>
      </w:pPr>
      <w:r>
        <w:t xml:space="preserve">Conclusion and Recommendations</w:t>
      </w:r>
    </w:p>
    <w:p>
      <w:pPr>
        <w:pStyle w:val="FirstParagraph"/>
      </w:pPr>
      <w:r>
        <w:t xml:space="preserve">/* Strong closing heading for impact */ /* Ensures practical takeaways are provided*/</w:t>
      </w:r>
      <w:r>
        <w:t xml:space="preserve"> </w:t>
      </w:r>
      <w:r>
        <w:t xml:space="preserve">To enhance the efficacy of Special Education Teachers in South Africa Cape Town, we propose:</w:t>
      </w:r>
    </w:p>
    <w:p>
      <w:pPr>
        <w:numPr>
          <w:ilvl w:val="0"/>
          <w:numId w:val="1003"/>
        </w:numPr>
        <w:pStyle w:val="Compact"/>
      </w:pPr>
      <w:r>
        <w:rPr>
          <w:bCs/>
          <w:b/>
        </w:rPr>
        <w:t xml:space="preserve">Localized Training:</w:t>
      </w:r>
    </w:p>
    <w:p>
      <w:pPr>
        <w:numPr>
          <w:ilvl w:val="0"/>
          <w:numId w:val="1003"/>
        </w:numPr>
        <w:pStyle w:val="Compact"/>
      </w:pPr>
      <w:r>
        <w:rPr>
          <w:bCs/>
          <w:b/>
        </w:rPr>
        <w:t xml:space="preserve">Policy Enforcement:</w:t>
      </w:r>
      <w:r>
        <w:t xml:space="preserve"> </w:t>
      </w:r>
      <w:r>
        <w:t xml:space="preserve">The Department of Basic Education must enforce stricter timelines for resource distribution to ensure equity across all districts in Cape Town.</w:t>
      </w:r>
    </w:p>
    <w:p>
      <w:pPr>
        <w:numPr>
          <w:ilvl w:val="0"/>
          <w:numId w:val="1003"/>
        </w:numPr>
        <w:pStyle w:val="Compact"/>
      </w:pPr>
      <w:r>
        <w:rPr>
          <w:bCs/>
          <w:b/>
        </w:rPr>
        <w:t xml:space="preserve">Community Partnerships:</w:t>
      </w:r>
      <w:r>
        <w:t xml:space="preserve"> </w:t>
      </w:r>
      <w:r>
        <w:t xml:space="preserve">Schools should establish formal partnerships with local NGOs and health services to create a wrap-around support system for learners with barriers to learning.</w:t>
      </w:r>
    </w:p>
    <w:p>
      <w:pPr>
        <w:pStyle w:val="FirstParagraph"/>
      </w:pPr>
      <w:r>
        <w:t xml:space="preserve">By addressing these structural and pedagogical gaps, we can move closer to the ideal of an inclusive education system that truly serves every learner in South Africa Cape Town.</w:t>
      </w:r>
    </w:p>
    <w:bookmarkEnd w:id="26"/>
    <w:p>
      <w:pPr>
        <w:pStyle w:val="BodyText"/>
      </w:pPr>
      <w:r>
        <w:t xml:space="preserve">/* End of Right Column */</w:t>
      </w:r>
    </w:p>
    <w:p>
      <w:pPr>
        <w:pStyle w:val="BodyText"/>
      </w:pPr>
      <w:r>
        <w:t xml:space="preserve">/* End of Content Grid */</w:t>
      </w:r>
    </w:p>
    <w:p>
      <w:pPr>
        <w:pStyle w:val="BodyText"/>
      </w:pPr>
      <w:r>
        <w:t xml:space="preserve">/* Provides contact information and citations for further inquiry */ /* Standard academic practice for attribution and networking*/</w:t>
      </w:r>
    </w:p>
    <w:p>
      <w:pPr>
        <w:pStyle w:val="BodyText"/>
      </w:pPr>
      <w:r>
        <w:rPr>
          <w:bCs/>
          <w:b/>
        </w:rPr>
        <w:t xml:space="preserve">Contact:</w:t>
      </w:r>
      <w:r>
        <w:t xml:space="preserve"> </w:t>
      </w:r>
      <w:r>
        <w:t xml:space="preserve">researcher.name@uct.ac.za |</w:t>
      </w:r>
      <w:r>
        <w:t xml:space="preserve"> </w:t>
      </w:r>
      <w:r>
        <w:rPr>
          <w:bCs/>
          <w:b/>
        </w:rPr>
        <w:t xml:space="preserve">Conference:</w:t>
      </w:r>
      <w:r>
        <w:t xml:space="preserve"> </w:t>
      </w:r>
      <w:r>
        <w:t xml:space="preserve">Annual South African Education Forum</w:t>
      </w:r>
    </w:p>
    <w:p>
      <w:pPr>
        <w:pStyle w:val="BodyText"/>
      </w:pPr>
      <w:r>
        <w:t xml:space="preserve">References: Department of Basic Education. (2001). White Paper 6. Cape Town University Press.</w:t>
      </w:r>
    </w:p>
    <w:p>
      <w:pPr>
        <w:pStyle w:val="BodyText"/>
      </w:pPr>
      <w:r>
        <w:t xml:space="preserve">/* Citation style consistent with academic integrity standards */ /* Allows interested viewers to locate source materials*/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Cape Town</dc:title>
  <dc:creator/>
  <dc:language>en</dc:language>
  <cp:keywords/>
  <dcterms:created xsi:type="dcterms:W3CDTF">2026-07-29T16:27:11Z</dcterms:created>
  <dcterms:modified xsi:type="dcterms:W3CDTF">2026-07-29T16:27:11Z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