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Dubai</w:t>
      </w:r>
    </w:p>
    <w:bookmarkStart w:id="20" w:name="bridging-gaps-building-futures"/>
    <w:p>
      <w:pPr>
        <w:pStyle w:val="Heading1"/>
      </w:pPr>
      <w:r>
        <w:t xml:space="preserve">Bridging Gaps, Building Futures</w:t>
      </w:r>
    </w:p>
    <w:p>
      <w:pPr>
        <w:pStyle w:val="FirstParagraph"/>
      </w:pPr>
      <w:r>
        <w:t xml:space="preserve">The Evolving Role of the Special Education Teacher in the United Arab Emirates Dubai</w:t>
      </w:r>
    </w:p>
    <w:p>
      <w:pPr>
        <w:pStyle w:val="BodyText"/>
      </w:pPr>
      <w:r>
        <w:br/>
      </w:r>
    </w:p>
    <w:p>
      <w:pPr>
        <w:pStyle w:val="BodyText"/>
      </w:pPr>
      <w:r>
        <w:t xml:space="preserve">Academic Poster Presentation | Educational Psychology &amp; Policy Analysis Series</w:t>
      </w:r>
    </w:p>
    <w:bookmarkEnd w:id="20"/>
    <w:bookmarkStart w:id="21" w:name="introduction-and-context"/>
    <w:p>
      <w:pPr>
        <w:pStyle w:val="Heading3"/>
      </w:pPr>
      <w:r>
        <w:t xml:space="preserve">1. Introduction and Context</w:t>
      </w:r>
    </w:p>
    <w:p>
      <w:pPr>
        <w:pStyle w:val="FirstParagraph"/>
      </w:pPr>
      <w:r>
        <w:t xml:space="preserve">The United Arab Emirates (UAE) has embarked on an ambitious journey of educational transformation, aligning its national curriculum with global standards while deeply respecting local cultural values. Within this dynamic landscape, the role of the Special Education Teacher in Dubai has transitioned from a peripheral support function to a central pillar of inclusive pedagogy. This poster presentation explores the multifaceted responsibilities, challenges, and strategic imperatives facing Special Education Teachers (SETs) operating within the rigorous and high-expectation environment of Dubai's international school sector.</w:t>
      </w:r>
    </w:p>
    <w:p>
      <w:pPr>
        <w:pStyle w:val="BodyText"/>
      </w:pPr>
      <w:r>
        <w:t xml:space="preserve">Dubai serves as a unique microcosm of global education, hosting students from over 200 nationalities. For Special Education Teachers in this city, the challenge is not merely academic but profoundly cultural and linguistic. The mandate extends beyond individual student accommodations to fostering an inclusive school culture that embraces neurodiversity within a multicultural framework.</w:t>
      </w:r>
    </w:p>
    <w:bookmarkEnd w:id="21"/>
    <w:bookmarkStart w:id="22" w:name="core-competencies-of-the-modern-set"/>
    <w:p>
      <w:pPr>
        <w:pStyle w:val="Heading3"/>
      </w:pPr>
      <w:r>
        <w:t xml:space="preserve">2. Core Competencies of the Modern SET</w:t>
      </w:r>
    </w:p>
    <w:p>
      <w:pPr>
        <w:pStyle w:val="FirstParagraph"/>
      </w:pPr>
      <w:r>
        <w:t xml:space="preserve">To effectively serve students in Dubai, Special Education Teachers must possess a robust triad of competencies:</w:t>
      </w:r>
    </w:p>
    <w:p>
      <w:pPr>
        <w:numPr>
          <w:ilvl w:val="0"/>
          <w:numId w:val="1001"/>
        </w:numPr>
        <w:pStyle w:val="Compact"/>
      </w:pPr>
      <w:r>
        <w:rPr>
          <w:bCs/>
          <w:b/>
        </w:rPr>
        <w:t xml:space="preserve">Clinical Expertise:</w:t>
      </w:r>
      <w:r>
        <w:t xml:space="preserve"> </w:t>
      </w:r>
      <w:r>
        <w:t xml:space="preserve">Mastery of Individualized Education Programs (IEPs), behavioral intervention strategies, and diagnostic assessment tools compliant with the Knowledge and Human Development Authority (KHDA) regulations.</w:t>
      </w:r>
    </w:p>
    <w:p>
      <w:pPr>
        <w:numPr>
          <w:ilvl w:val="0"/>
          <w:numId w:val="1001"/>
        </w:numPr>
        <w:pStyle w:val="Compact"/>
      </w:pPr>
      <w:r>
        <w:rPr>
          <w:bCs/>
          <w:b/>
        </w:rPr>
        <w:t xml:space="preserve">Cultural Intelligence:</w:t>
      </w:r>
      <w:r>
        <w:t xml:space="preserve"> </w:t>
      </w:r>
      <w:r>
        <w:t xml:space="preserve">The ability to navigate the diverse cultural expectations of expatriate families while adhering to UAE laws regarding disability rights and inclusion. This includes understanding how different cultures perceive disability, which significantly impacts family engagement.</w:t>
      </w:r>
    </w:p>
    <w:p>
      <w:pPr>
        <w:numPr>
          <w:ilvl w:val="0"/>
          <w:numId w:val="1001"/>
        </w:numPr>
        <w:pStyle w:val="Compact"/>
      </w:pPr>
      <w:r>
        <w:rPr>
          <w:bCs/>
          <w:b/>
        </w:rPr>
        <w:t xml:space="preserve">Linguistic Agility:</w:t>
      </w:r>
      <w:r>
        <w:t xml:space="preserve"> </w:t>
      </w:r>
      <w:r>
        <w:t xml:space="preserve">Proficiency in working with English as an Additional Language (EAL) students who may also have learning disabilities. Differentiating between language acquisition barriers and actual cognitive or learning deficits is a critical skill for SETs in Dubai.</w:t>
      </w:r>
    </w:p>
    <w:bookmarkEnd w:id="22"/>
    <w:bookmarkStart w:id="23" w:name="alignment-with-uae-national-agenda"/>
    <w:p>
      <w:pPr>
        <w:pStyle w:val="Heading3"/>
      </w:pPr>
      <w:r>
        <w:t xml:space="preserve">3. Alignment with UAE National Agenda</w:t>
      </w:r>
    </w:p>
    <w:p>
      <w:pPr>
        <w:pStyle w:val="FirstParagraph"/>
      </w:pPr>
      <w:r>
        <w:t xml:space="preserve">The work of Special Education Teachers in the United Arab Emirates is deeply intertwined with the broader national vision. The UAE’s "Year of Sustainability" and subsequent initiatives emphasize equity, innovation, and community well-being. Dubai's specific educational strategy aims to produce future-ready leaders.</w:t>
      </w:r>
    </w:p>
    <w:p>
      <w:pPr>
        <w:pStyle w:val="BodyText"/>
      </w:pPr>
      <w:r>
        <w:rPr>
          <w:bCs/>
          <w:b/>
        </w:rPr>
        <w:t xml:space="preserve">Key Insight:</w:t>
      </w:r>
      <w:r>
        <w:t xml:space="preserve"> </w:t>
      </w:r>
      <w:r>
        <w:t xml:space="preserve">Inclusion in Dubai is no longer viewed as a charitable act but as an educational right. The Special Education Teacher is the agent of change who operationalizes this right, ensuring that students with special needs are not segregated but are actively integrated into the social and academic fabric of their schools.</w:t>
      </w:r>
    </w:p>
    <w:p>
      <w:pPr>
        <w:pStyle w:val="BodyText"/>
      </w:pPr>
      <w:r>
        <w:t xml:space="preserve">This alignment requires SETs to advocate for policy changes at the school level while simultaneously meeting stringent accountability metrics set by local regulatory bodies.</w:t>
      </w:r>
    </w:p>
    <w:bookmarkEnd w:id="23"/>
    <w:bookmarkStart w:id="24" w:name="structural-and-pedagogical-challenges"/>
    <w:p>
      <w:pPr>
        <w:pStyle w:val="Heading3"/>
      </w:pPr>
      <w:r>
        <w:t xml:space="preserve">4. Structural and Pedagogical Challenges</w:t>
      </w:r>
    </w:p>
    <w:p>
      <w:pPr>
        <w:pStyle w:val="FirstParagraph"/>
      </w:pPr>
      <w:r>
        <w:t xml:space="preserve">Despite progress, Special Education Teachers in Dubai face distinct hurdles:</w:t>
      </w:r>
    </w:p>
    <w:p>
      <w:pPr>
        <w:numPr>
          <w:ilvl w:val="0"/>
          <w:numId w:val="1002"/>
        </w:numPr>
        <w:pStyle w:val="Compact"/>
      </w:pPr>
      <w:r>
        <w:rPr>
          <w:bCs/>
          <w:b/>
        </w:rPr>
        <w:t xml:space="preserve">Rapid Staff Turnover:</w:t>
      </w:r>
      <w:r>
        <w:t xml:space="preserve"> </w:t>
      </w:r>
      <w:r>
        <w:t xml:space="preserve">The transient nature of expatriate life in Dubai can lead to high turnover among SETs, disrupting the continuity of care for students with complex needs.</w:t>
      </w:r>
    </w:p>
    <w:p>
      <w:pPr>
        <w:pStyle w:val="FirstParagraph"/>
      </w:pPr>
      <w:r>
        <w:t xml:space="preserve">--&gt;</w:t>
      </w:r>
    </w:p>
    <w:bookmarkEnd w:id="24"/>
    <w:p>
      <w:pPr>
        <w:pStyle w:val="BodyText"/>
      </w:pPr>
      <w:r>
        <w:rPr>
          <w:iCs/>
          <w:i/>
        </w:rPr>
        <w:t xml:space="preserve">Note: The following section continues within the two-column flow in a real visual layout, but here presented for structural integrity.</w:t>
      </w:r>
    </w:p>
    <w:bookmarkStart w:id="25" w:name="structural-and-pedagogical-challenges-1"/>
    <w:p>
      <w:pPr>
        <w:pStyle w:val="Heading3"/>
      </w:pPr>
      <w:r>
        <w:t xml:space="preserve">4. Structural and Pedagogical Challenges</w:t>
      </w:r>
    </w:p>
    <w:p>
      <w:pPr>
        <w:pStyle w:val="FirstParagraph"/>
      </w:pPr>
      <w:r>
        <w:br/>
      </w:r>
    </w:p>
    <w:p>
      <w:pPr>
        <w:pStyle w:val="BodyText"/>
      </w:pPr>
      <w:r>
        <w:t xml:space="preserve">(Continued from context)</w:t>
      </w:r>
    </w:p>
    <w:bookmarkEnd w:id="25"/>
    <w:bookmarkStart w:id="26" w:name="the-inclusive-pedagogy-framework"/>
    <w:p>
      <w:pPr>
        <w:pStyle w:val="Heading3"/>
      </w:pPr>
      <w:r>
        <w:t xml:space="preserve">5. The Inclusive Pedagogy Framework</w:t>
      </w:r>
    </w:p>
    <w:p>
      <w:pPr>
        <w:pStyle w:val="FirstParagraph"/>
      </w:pPr>
      <w:r>
        <w:br/>
      </w:r>
    </w:p>
    <w:p>
      <w:pPr>
        <w:pStyle w:val="BodyText"/>
      </w:pPr>
      <w:r>
        <w:t xml:space="preserve">The proposed framework for Special Education Teachers in Dubai emphasizes a "Response to Intervention" (RTI) model adapted for the UAE context. This involves:</w:t>
      </w:r>
    </w:p>
    <w:p>
      <w:pPr>
        <w:numPr>
          <w:ilvl w:val="0"/>
          <w:numId w:val="1003"/>
        </w:numPr>
        <w:pStyle w:val="Compact"/>
      </w:pPr>
      <w:r>
        <w:rPr>
          <w:bCs/>
          <w:b/>
        </w:rPr>
        <w:t xml:space="preserve">Tier 1:</w:t>
      </w:r>
      <w:r>
        <w:t xml:space="preserve"> </w:t>
      </w:r>
      <w:r>
        <w:t xml:space="preserve">Universal design for learning (UDL) in mainstream classrooms, supported by SETs.</w:t>
      </w:r>
    </w:p>
    <w:p>
      <w:pPr>
        <w:numPr>
          <w:ilvl w:val="0"/>
          <w:numId w:val="1003"/>
        </w:numPr>
        <w:pStyle w:val="Compact"/>
      </w:pPr>
    </w:p>
    <w:p>
      <w:pPr>
        <w:pStyle w:val="FirstParagraph"/>
      </w:pPr>
      <w:r>
        <w:t xml:space="preserve">--&gt;</w:t>
      </w:r>
    </w:p>
    <w:p>
      <w:pPr>
        <w:pStyle w:val="BodyText"/>
      </w:pPr>
      <w:r>
        <w:t xml:space="preserve">This approach ensures that support is proactive rather than reactive, aligning with Dubai's forward-looking educational ethos.</w:t>
      </w:r>
    </w:p>
    <w:bookmarkEnd w:id="26"/>
    <w:bookmarkStart w:id="27" w:name="family-and-community-engagement"/>
    <w:p>
      <w:pPr>
        <w:pStyle w:val="Heading3"/>
      </w:pPr>
      <w:r>
        <w:t xml:space="preserve">6. Family and Community Engagement</w:t>
      </w:r>
    </w:p>
    <w:p>
      <w:pPr>
        <w:pStyle w:val="FirstParagraph"/>
      </w:pPr>
      <w:r>
        <w:br/>
      </w:r>
    </w:p>
    <w:p>
      <w:pPr>
        <w:pStyle w:val="BodyText"/>
      </w:pPr>
      <w:r>
        <w:t xml:space="preserve">In the United Arab Emirates, the family unit is paramount. Special Education Teachers must build trust with families who may come from backgrounds where disability is stigmatized or viewed differently. Effective SETs in Dubai act as cultural brokers, explaining IEP requirements and behavioral strategies to parents while respecting their cultural heritage.</w:t>
      </w:r>
    </w:p>
    <w:p>
      <w:pPr>
        <w:pStyle w:val="BodyText"/>
      </w:pPr>
      <w:r>
        <w:rPr>
          <w:bCs/>
          <w:b/>
        </w:rPr>
        <w:t xml:space="preserve">Strategy:</w:t>
      </w:r>
      <w:r>
        <w:t xml:space="preserve"> </w:t>
      </w:r>
      <w:r>
        <w:t xml:space="preserve">Regular, transparent communication channels that include translated materials and culturally sensitive meetings are essential for building the home-school partnership required for student success.</w:t>
      </w:r>
    </w:p>
    <w:p>
      <w:pPr>
        <w:pStyle w:val="BodyText"/>
      </w:pPr>
      <w:r>
        <w:br/>
      </w:r>
    </w:p>
    <w:bookmarkEnd w:id="27"/>
    <w:bookmarkStart w:id="28" w:name="future-directions-and-recommendations"/>
    <w:p>
      <w:pPr>
        <w:pStyle w:val="Heading3"/>
      </w:pPr>
      <w:r>
        <w:t xml:space="preserve">7. Future Directions and Recommendations</w:t>
      </w:r>
    </w:p>
    <w:p>
      <w:pPr>
        <w:pStyle w:val="FirstParagraph"/>
      </w:pPr>
      <w:r>
        <w:br/>
      </w:r>
    </w:p>
    <w:p>
      <w:pPr>
        <w:pStyle w:val="BodyText"/>
      </w:pPr>
      <w:r>
        <w:t xml:space="preserve">To sustain the growth of special education in Dubai, several actions are recommended for Special Education Teachers:</w:t>
      </w:r>
    </w:p>
    <w:p>
      <w:pPr>
        <w:numPr>
          <w:ilvl w:val="0"/>
          <w:numId w:val="1004"/>
        </w:numPr>
        <w:pStyle w:val="Compact"/>
      </w:pPr>
      <w:r>
        <w:rPr>
          <w:bCs/>
          <w:b/>
        </w:rPr>
        <w:t xml:space="preserve">Professional Development:</w:t>
      </w:r>
      <w:r>
        <w:t xml:space="preserve"> </w:t>
      </w:r>
      <w:r>
        <w:t xml:space="preserve">Continuous training on emerging technologies such as AI-assisted learning tools that support diverse learners.</w:t>
      </w:r>
    </w:p>
    <w:p>
      <w:pPr>
        <w:pStyle w:val="FirstParagraph"/>
      </w:pPr>
      <w:r>
        <w:t xml:space="preserve">The role of the Special Education Teacher in the United Arab Emirates Dubai is evolving from a specialist service provider to a leader of inclusive culture. By mastering clinical skills, navigating cultural complexities, and leveraging technology, these educators are shaping a future where every child in Dubai has the opportunity to thrive.</w:t>
      </w:r>
    </w:p>
    <w:p>
      <w:pPr>
        <w:pStyle w:val="BodyText"/>
      </w:pPr>
      <w:r>
        <w:br/>
      </w:r>
    </w:p>
    <w:bookmarkEnd w:id="28"/>
    <w:p>
      <w:pPr>
        <w:pStyle w:val="BodyText"/>
      </w:pPr>
      <w:r>
        <w:t xml:space="preserve">© 2023 Academic Poster Series | Prepared for the International Conference on Inclusive Education in the MENA Region</w:t>
      </w:r>
    </w:p>
    <w:p>
      <w:pPr>
        <w:pStyle w:val="BodyText"/>
      </w:pPr>
      <w:r>
        <w:t xml:space="preserve">Contact: research@educationuae.ac.ae</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Dubai</dc:title>
  <dc:creator/>
  <dc:language>en</dc:language>
  <cp:keywords/>
  <dcterms:created xsi:type="dcterms:W3CDTF">2026-07-29T19:51:56Z</dcterms:created>
  <dcterms:modified xsi:type="dcterms:W3CDTF">2026-07-29T19:51:56Z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