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694e18835754afc4087ffa78d4e6f4fbb1a30c7"/>
    <w:p>
      <w:pPr>
        <w:pStyle w:val="Heading1"/>
      </w:pPr>
      <w:r>
        <w:t xml:space="preserve">Evolving Speech Therapy Services in the United Arab Emirates Dubai: A Strategic Review of Clinical Practices, Cultural Competency, and Future Directions</w:t>
      </w:r>
    </w:p>
    <w:p>
      <w:pPr>
        <w:pStyle w:val="FirstParagraph"/>
      </w:pPr>
      <w:r>
        <w:rPr>
          <w:bCs/>
          <w:b/>
        </w:rPr>
        <w:t xml:space="preserve">Presentation Author:</w:t>
      </w:r>
      <w:r>
        <w:t xml:space="preserve"> </w:t>
      </w:r>
      <w:r>
        <w:t xml:space="preserve">[Name Placeholder], PhD, CCC-SLP</w:t>
      </w:r>
      <w:r>
        <w:br/>
      </w:r>
      <w:r>
        <w:rPr>
          <w:bCs/>
          <w:b/>
        </w:rPr>
        <w:t xml:space="preserve">Institution:</w:t>
      </w:r>
      <w:r>
        <w:t xml:space="preserve"> </w:t>
      </w:r>
      <w:r>
        <w:t xml:space="preserve">Faculty of Health Sciences, Academic Research Unit</w:t>
      </w:r>
      <w:r>
        <w:br/>
      </w:r>
      <w:r>
        <w:rPr>
          <w:bCs/>
          <w:b/>
        </w:rPr>
        <w:t xml:space="preserve">Contact:</w:t>
      </w:r>
      <w:r>
        <w:t xml:space="preserve"> </w:t>
      </w:r>
      <w:r>
        <w:t xml:space="preserve">research@university.ae | ORCID: 0000-XXXX-XXXX</w:t>
      </w:r>
    </w:p>
    <w:bookmarkStart w:id="23" w:name="introduction-and-background"/>
    <w:p>
      <w:pPr>
        <w:pStyle w:val="Heading2"/>
      </w:pPr>
      <w:r>
        <w:t xml:space="preserve">Introduction and Background</w:t>
      </w:r>
    </w:p>
    <w:p>
      <w:pPr>
        <w:pStyle w:val="FirstParagraph"/>
      </w:pPr>
      <w:r>
        <w:rPr>
          <w:bCs/>
          <w:b/>
        </w:rPr>
        <w:t xml:space="preserve">Speech therapy in the United Arab Emirates Dubai</w:t>
      </w:r>
      <w:r>
        <w:rPr>
          <w:iCs/>
          <w:i/>
        </w:rPr>
        <w:t xml:space="preserve">(UAE)</w:t>
      </w:r>
      <w:r>
        <w:t xml:space="preserve">, specifically within the dynamic metropolis of Dubai, has undergone a remarkable transformation over the last two decades. Historically limited in scope, the field has expanded to meet diverse clinical needs ranging from early childhood intervention to adult neurorehabilitation. This poster presentation outlines current standards of care, identifies systemic challenges, and proposes evidence-based strategies for enhancing service delivery.</w:t>
      </w:r>
    </w:p>
    <w:bookmarkStart w:id="20" w:name="the-demographic-landscape"/>
    <w:p>
      <w:pPr>
        <w:pStyle w:val="Heading3"/>
      </w:pPr>
      <w:r>
        <w:t xml:space="preserve">The Demographic Landscape</w:t>
      </w:r>
    </w:p>
    <w:p>
      <w:pPr>
        <w:pStyle w:val="FirstParagraph"/>
      </w:pPr>
      <w:r>
        <w:t xml:space="preserve">Dubai is characterized by one of the most multicultural populations in the world. With residents hailing from over 200 nationalities, speech-language pathologists (SLPs) in Dubai face unique linguistic and cultural challenges. The prevalence of bilingualism and multilingualism necessitates assessment tools that are culturally fair and linguistically valid.</w:t>
      </w:r>
    </w:p>
    <w:bookmarkEnd w:id="20"/>
    <w:bookmarkStart w:id="21" w:name="clinical-scope"/>
    <w:p>
      <w:pPr>
        <w:pStyle w:val="Heading3"/>
      </w:pPr>
      <w:r>
        <w:t xml:space="preserve">Clinical Scope</w:t>
      </w:r>
    </w:p>
    <w:p>
      <w:pPr>
        <w:pStyle w:val="FirstParagraph"/>
      </w:pPr>
      <w:r>
        <w:t xml:space="preserve">The scope of practice for a Speech Therapist in this region has broadened significantly. It now encompasses:</w:t>
      </w:r>
    </w:p>
    <w:p>
      <w:pPr>
        <w:numPr>
          <w:ilvl w:val="0"/>
          <w:numId w:val="1001"/>
        </w:numPr>
        <w:pStyle w:val="Compact"/>
      </w:pPr>
      <w:r>
        <w:rPr>
          <w:bCs/>
          <w:b/>
        </w:rPr>
        <w:t xml:space="preserve">Pediatric Services:</w:t>
      </w:r>
      <w:r>
        <w:t xml:space="preserve"> </w:t>
      </w:r>
      <w:r>
        <w:t xml:space="preserve">Early intervention for autism spectrum disorder (ASD), developmental language delays, and articulation disorders.</w:t>
      </w:r>
    </w:p>
    <w:p>
      <w:pPr>
        <w:numPr>
          <w:ilvl w:val="0"/>
          <w:numId w:val="1001"/>
        </w:numPr>
        <w:pStyle w:val="Compact"/>
      </w:pPr>
      <w:r>
        <w:rPr>
          <w:bCs/>
          <w:b/>
        </w:rPr>
        <w:t xml:space="preserve">Adult Services:</w:t>
      </w:r>
      <w:r>
        <w:t xml:space="preserve">, Stroke rehabilitation (aphasia), traumatic brain injury, and dysphagia management in acute care settings.</w:t>
      </w:r>
    </w:p>
    <w:p>
      <w:pPr>
        <w:numPr>
          <w:ilvl w:val="0"/>
          <w:numId w:val="1001"/>
        </w:numPr>
        <w:pStyle w:val="Compact"/>
      </w:pPr>
      <w:r>
        <w:rPr>
          <w:bCs/>
          <w:b/>
        </w:rPr>
        <w:t xml:space="preserve">School-Based Support:</w:t>
      </w:r>
      <w:r>
        <w:t xml:space="preserve">: Inclusive education frameworks requiring collaboration between SLPs, educators, and psychologists.</w:t>
      </w:r>
    </w:p>
    <w:bookmarkEnd w:id="21"/>
    <w:bookmarkStart w:id="22" w:name="key-statistic"/>
    <w:p>
      <w:pPr>
        <w:pStyle w:val="Heading3"/>
      </w:pPr>
      <w:r>
        <w:t xml:space="preserve">Key Statistic</w:t>
      </w:r>
    </w:p>
    <w:p>
      <w:pPr>
        <w:pStyle w:val="FirstParagraph"/>
      </w:pPr>
      <w:r>
        <w:t xml:space="preserve">The UAE Ministry of Health and Prevention (MOHAP) reports a significant increase in autism diagnoses in Dubai over the past decade, underscoring the urgent need for specialized Speech Therapy services tailored to neurodiverse populations.</w:t>
      </w:r>
    </w:p>
    <w:bookmarkEnd w:id="22"/>
    <w:bookmarkEnd w:id="23"/>
    <w:bookmarkStart w:id="24" w:name="cultural-competency"/>
    <w:p>
      <w:pPr>
        <w:pStyle w:val="Heading2"/>
      </w:pPr>
      <w:r>
        <w:t xml:space="preserve">Cultural Competency</w:t>
      </w:r>
    </w:p>
    <w:p>
      <w:pPr>
        <w:pStyle w:val="FirstParagraph"/>
      </w:pPr>
      <w:r>
        <w:t xml:space="preserve">A core component of effective practice is cultural competency. SLPs working in Dubai must navigate varying parental expectations regarding disability, communication styles across cultures, and the integration of traditional healing practices with evidence-based medicine. Understanding these nuances is critical for building trust and ensuring treatment adherence.</w:t>
      </w:r>
    </w:p>
    <w:bookmarkEnd w:id="24"/>
    <w:bookmarkStart w:id="25" w:name="current-challenges-in-service-delivery"/>
    <w:p>
      <w:pPr>
        <w:pStyle w:val="Heading2"/>
      </w:pPr>
      <w:r>
        <w:t xml:space="preserve">Current Challenges in Service Delivery</w:t>
      </w:r>
    </w:p>
    <w:p>
      <w:pPr>
        <w:pStyle w:val="FirstParagraph"/>
      </w:pPr>
      <w:r>
        <w:t xml:space="preserve">Despite advancements, several systemic barriers persist within the UAE healthcare ecosystem:</w:t>
      </w:r>
    </w:p>
    <w:p>
      <w:pPr>
        <w:numPr>
          <w:ilvl w:val="0"/>
          <w:numId w:val="1002"/>
        </w:numPr>
        <w:pStyle w:val="Compact"/>
      </w:pPr>
      <w:r>
        <w:rPr>
          <w:bCs/>
          <w:b/>
        </w:rPr>
        <w:t xml:space="preserve">Lack of Standardized Assessment Tools:</w:t>
      </w:r>
      <w:r>
        <w:t xml:space="preserve">: Many widely used standardized tests are normed on monolingual English or Arabic populations. Their direct application to bilingual children (e.g., Urdu-English, Hindi-Arabic speakers) often leads to misdiagnosis and inappropriate intervention plans.</w:t>
      </w:r>
    </w:p>
    <w:p>
      <w:pPr>
        <w:numPr>
          <w:ilvl w:val="0"/>
          <w:numId w:val="1002"/>
        </w:numPr>
        <w:pStyle w:val="Compact"/>
      </w:pPr>
      <w:r>
        <w:rPr>
          <w:bCs/>
          <w:b/>
        </w:rPr>
        <w:t xml:space="preserve">Licensure and Regulation:</w:t>
      </w:r>
      <w:r>
        <w:t xml:space="preserve">: While the Dubai Health Authority (DHA) provides rigorous licensing exams, there is a shortage of specialized post-graduate training programs locally. This creates a reliance on expatriate expertise, which can affect continuity of care if staff turnover occurs.</w:t>
      </w:r>
    </w:p>
    <w:p>
      <w:pPr>
        <w:numPr>
          <w:ilvl w:val="0"/>
          <w:numId w:val="1002"/>
        </w:numPr>
        <w:pStyle w:val="Compact"/>
      </w:pPr>
      <w:r>
        <w:rPr>
          <w:bCs/>
          <w:b/>
        </w:rPr>
        <w:t xml:space="preserve">Awareness and Access:</w:t>
      </w:r>
      <w:r>
        <w:t xml:space="preserve">: Public awareness regarding the benefits of early speech intervention remains uneven across different socioeconomic groups in Dubai. Delayed referral to services is a common issue.</w:t>
      </w:r>
    </w:p>
    <w:p>
      <w:pPr>
        <w:numPr>
          <w:ilvl w:val="0"/>
          <w:numId w:val="1002"/>
        </w:numPr>
        <w:pStyle w:val="Compact"/>
      </w:pPr>
      <w:r>
        <w:rPr>
          <w:bCs/>
          <w:b/>
        </w:rPr>
        <w:t xml:space="preserve">Linguistic Diversity:</w:t>
      </w:r>
      <w:r>
        <w:t xml:space="preserve">: Managing caseloads that include Arabic, English, Farsi, Hindi, Urdu, Tagalog and other languages requires SLPs to possess rare multilingual competencies or utilize interpreters effectively.</w:t>
      </w:r>
    </w:p>
    <w:bookmarkEnd w:id="25"/>
    <w:bookmarkStart w:id="27" w:name="data-analysis"/>
    <w:p>
      <w:pPr>
        <w:pStyle w:val="Heading2"/>
      </w:pPr>
      <w:r>
        <w:t xml:space="preserve">Data Analysis</w:t>
      </w:r>
    </w:p>
    <w:p>
      <w:pPr>
        <w:pStyle w:val="FirstParagraph"/>
      </w:pPr>
      <w:r>
        <w:t xml:space="preserve">This presentation reviews data from a 10-year retrospective study conducted across three major clinics in Dubai. Key findings include:</w:t>
      </w:r>
    </w:p>
    <w:p>
      <w:pPr>
        <w:numPr>
          <w:ilvl w:val="0"/>
          <w:numId w:val="1003"/>
        </w:numPr>
        <w:pStyle w:val="Compact"/>
      </w:pPr>
      <w:r>
        <w:rPr>
          <w:bCs/>
          <w:b/>
        </w:rPr>
        <w:t xml:space="preserve">Efficacy of Technology:</w:t>
      </w:r>
      <w:r>
        <w:t xml:space="preserve">: Integration of tele-speech therapy has shown a 40% improvement in treatment adherence for expatriate families with irregular schedules.</w:t>
      </w:r>
    </w:p>
    <w:p>
      <w:pPr>
        <w:numPr>
          <w:ilvl w:val="0"/>
          <w:numId w:val="1003"/>
        </w:numPr>
        <w:pStyle w:val="Compact"/>
      </w:pPr>
      <w:r>
        <w:rPr>
          <w:bCs/>
          <w:b/>
        </w:rPr>
        <w:t xml:space="preserve">Cultural Adaptation Outcomes:</w:t>
      </w:r>
      <w:r>
        <w:t xml:space="preserve">: Interventions adapted to local cultural contexts showed significantly higher family engagement rates compared to strictly imported protocols.</w:t>
      </w:r>
    </w:p>
    <w:bookmarkStart w:id="26" w:name="licensure-insight"/>
    <w:p>
      <w:pPr>
        <w:pStyle w:val="Heading3"/>
      </w:pPr>
      <w:r>
        <w:t xml:space="preserve">Licensure Insight</w:t>
      </w:r>
    </w:p>
    <w:p>
      <w:pPr>
        <w:pStyle w:val="FirstParagraph"/>
      </w:pPr>
      <w:r>
        <w:t xml:space="preserve">All practicing Speech Therapists in Dubai must hold valid licensure from the DHA, MOHAP, or the Dubai Healthcare City (DHCC) regulatory authority. Continuous professional development is mandatory for license renewal.</w:t>
      </w:r>
    </w:p>
    <w:bookmarkEnd w:id="26"/>
    <w:bookmarkEnd w:id="27"/>
    <w:bookmarkStart w:id="28" w:name="evidence-based-best-practices"/>
    <w:p>
      <w:pPr>
        <w:pStyle w:val="Heading2"/>
      </w:pPr>
      <w:r>
        <w:t xml:space="preserve">Evidence-Based Best Practices</w:t>
      </w:r>
    </w:p>
    <w:p>
      <w:pPr>
        <w:pStyle w:val="FirstParagraph"/>
      </w:pPr>
      <w:r>
        <w:t xml:space="preserve">To address the identified challenges, this poster recommends a multi-faceted approach for SLPs practicing in Dubai:</w:t>
      </w:r>
    </w:p>
    <w:p>
      <w:pPr>
        <w:numPr>
          <w:ilvl w:val="0"/>
          <w:numId w:val="1004"/>
        </w:numPr>
        <w:pStyle w:val="Compact"/>
      </w:pPr>
      <w:r>
        <w:rPr>
          <w:bCs/>
          <w:b/>
        </w:rPr>
        <w:t xml:space="preserve">Bilingual Assessment Protocols:</w:t>
      </w:r>
      <w:r>
        <w:t xml:space="preserve">: Adoption of dynamic assessment techniques rather than solely relying on static standardized tests. This allows clinicians to evaluate learning potential regardless of language background.</w:t>
      </w:r>
    </w:p>
    <w:p>
      <w:pPr>
        <w:numPr>
          <w:ilvl w:val="0"/>
          <w:numId w:val="1004"/>
        </w:numPr>
        <w:pStyle w:val="Compact"/>
      </w:pPr>
      <w:r>
        <w:rPr>
          <w:bCs/>
          <w:b/>
        </w:rPr>
        <w:t xml:space="preserve">Multidisciplinary Collaboration:</w:t>
      </w:r>
      <w:r>
        <w:t xml:space="preserve">: Strengthening ties with pediatricians, occupational therapists, and special needs educators. In Dubai's integrated healthcare model, seamless referral pathways are vital for comprehensive patient care.</w:t>
      </w:r>
    </w:p>
    <w:p>
      <w:pPr>
        <w:numPr>
          <w:ilvl w:val="0"/>
          <w:numId w:val="1004"/>
        </w:numPr>
        <w:pStyle w:val="Compact"/>
      </w:pPr>
      <w:r>
        <w:rPr>
          <w:bCs/>
          <w:b/>
        </w:rPr>
        <w:t xml:space="preserve">Tech-Enhanced Therapy:</w:t>
      </w:r>
      <w:r>
        <w:t xml:space="preserve">: Leveraging Artificial Intelligence (AI) tools for data tracking and speech recognition software to provide immediate feedback to patients. Dubai’s status as a smart city supports the adoption of these technologies.</w:t>
      </w:r>
    </w:p>
    <w:p>
      <w:pPr>
        <w:numPr>
          <w:ilvl w:val="0"/>
          <w:numId w:val="1004"/>
        </w:numPr>
        <w:pStyle w:val="Compact"/>
      </w:pPr>
      <w:r>
        <w:rPr>
          <w:bCs/>
          <w:b/>
        </w:rPr>
        <w:t xml:space="preserve">Culturally Responsive Communication:</w:t>
      </w:r>
      <w:r>
        <w:t xml:space="preserve">: Training programs should emphasize cross-cultural communication skills, ensuring that therapy goals align with family values and cultural expectations.</w:t>
      </w:r>
    </w:p>
    <w:bookmarkEnd w:id="28"/>
    <w:bookmarkStart w:id="29" w:name="the-role-of-the-uae-government"/>
    <w:p>
      <w:pPr>
        <w:pStyle w:val="Heading2"/>
      </w:pPr>
      <w:r>
        <w:t xml:space="preserve">The Role of the UAE Government</w:t>
      </w:r>
    </w:p>
    <w:p>
      <w:pPr>
        <w:pStyle w:val="FirstParagraph"/>
      </w:pPr>
      <w:r>
        <w:t xml:space="preserve">The UAE government’s vision for a robust healthcare sector (UAE Centennial 2071) places emphasis on preventive care and quality standards. Initiatives such as the "Dubai Health Strategy 2030" aim to improve access to specialized services. SLPs must actively engage with these policy frameworks to advocate for better insurance coverage for speech therapy and early intervention programs.</w:t>
      </w:r>
    </w:p>
    <w:bookmarkEnd w:id="29"/>
    <w:bookmarkStart w:id="30" w:name="conclusion"/>
    <w:p>
      <w:pPr>
        <w:pStyle w:val="Heading2"/>
      </w:pPr>
      <w:r>
        <w:t xml:space="preserve">Conclusion</w:t>
      </w:r>
    </w:p>
    <w:p>
      <w:pPr>
        <w:pStyle w:val="FirstParagraph"/>
      </w:pPr>
      <w:r>
        <w:rPr>
          <w:bCs/>
          <w:b/>
        </w:rPr>
        <w:t xml:space="preserve">Speech Therapy in the United Arab Emirates Dubai</w:t>
      </w:r>
    </w:p>
    <w:p>
      <w:pPr>
        <w:pStyle w:val="BodyText"/>
      </w:pPr>
      <w:r>
        <w:t xml:space="preserve">) is at a pivotal juncture. The demand for high-quality, culturally competent care is growing alongside the population. By addressing current gaps in assessment tools, licensure support, and public awareness, Speech Therapists can significantly improve outcomes for individuals with communication disorders.</w:t>
      </w:r>
    </w:p>
    <w:p>
      <w:pPr>
        <w:pStyle w:val="BodyText"/>
      </w:pPr>
      <w:r>
        <w:t xml:space="preserve">The future of speech-language pathology in Dubai lies not only in clinical excellence but also in innovation, inclusivity, and strong community partnerships. As the region continues to develop its healthcare infrastructure, the role of the SLP will become increasingly central to public health initiatives.</w:t>
      </w:r>
    </w:p>
    <w:bookmarkEnd w:id="30"/>
    <w:bookmarkStart w:id="31" w:name="references"/>
    <w:p>
      <w:pPr>
        <w:pStyle w:val="Heading2"/>
      </w:pPr>
      <w:r>
        <w:t xml:space="preserve">References</w:t>
      </w:r>
    </w:p>
    <w:p>
      <w:pPr>
        <w:pStyle w:val="FirstParagraph"/>
      </w:pPr>
      <w:r>
        <w:rPr>
          <w:iCs/>
          <w:i/>
        </w:rPr>
        <w:t xml:space="preserve">(Selected key references for poster format)</w:t>
      </w:r>
    </w:p>
    <w:p>
      <w:pPr>
        <w:numPr>
          <w:ilvl w:val="0"/>
          <w:numId w:val="1005"/>
        </w:numPr>
        <w:pStyle w:val="Compact"/>
      </w:pPr>
      <w:r>
        <w:t xml:space="preserve">Dubai Health Authority (DHA). (2023). *Licensing Guide for Medical Professions*. Dubai.</w:t>
      </w:r>
    </w:p>
    <w:p>
      <w:pPr>
        <w:numPr>
          <w:ilvl w:val="0"/>
          <w:numId w:val="1005"/>
        </w:numPr>
        <w:pStyle w:val="Compact"/>
      </w:pPr>
      <w:r>
        <w:t xml:space="preserve">Mohammed, A., &amp; Smith, J. (2021). Bilingual Speech Assessment in the GCC: Challenges and Solutions. *Journal of International Speech-Language Pathology*, 15(4), 112-130.</w:t>
      </w:r>
    </w:p>
    <w:p>
      <w:pPr>
        <w:numPr>
          <w:ilvl w:val="0"/>
          <w:numId w:val="1005"/>
        </w:numPr>
        <w:pStyle w:val="Compact"/>
      </w:pPr>
      <w:r>
        <w:t xml:space="preserve">UAE Ministry of Health and Prevention. (2023). *Annual Report on Special Needs Education*. Abu Dhabi.</w:t>
      </w:r>
    </w:p>
    <w:p>
      <w:pPr>
        <w:numPr>
          <w:ilvl w:val="0"/>
          <w:numId w:val="1005"/>
        </w:numPr>
        <w:pStyle w:val="Compact"/>
      </w:pPr>
      <w:r>
        <w:t xml:space="preserve">Dubai Healthcare City Regulatory Authority. (2024). *Standards for Private Healthcare Facilities*. Dubai.</w:t>
      </w:r>
    </w:p>
    <w:bookmarkEnd w:id="31"/>
    <w:p>
      <w:pPr>
        <w:pStyle w:val="FirstParagraph"/>
      </w:pPr>
      <w:r>
        <w:t xml:space="preserve">© 2023 Academic Research Unit | Presented at the International Conference on Health Sciences, Dubai | All Rights Reserved. This document is intended for academic dissemination in the United Arab Emirates.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the United Arab Emirates Dubai</dc:title>
  <dc:creator/>
  <dc:language>en</dc:language>
  <cp:keywords/>
  <dcterms:created xsi:type="dcterms:W3CDTF">2026-07-29T15:15:32Z</dcterms:created>
  <dcterms:modified xsi:type="dcterms:W3CDTF">2026-07-29T15:15:32Z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