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0" w:name="X1b678957cbd4ed5a9c1219569e8cbf9e83bb61f"/>
    <w:p>
      <w:pPr>
        <w:pStyle w:val="Heading1"/>
      </w:pPr>
      <w:r>
        <w:t xml:space="preserve">The Modern Surgeon in Kazakhstan Almaty: Bridging Tradition, Technology, and Global Standards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Advancing Surgical Excellence in Central Asia</w:t>
      </w:r>
    </w:p>
    <w:p>
      <w:pPr>
        <w:pStyle w:val="BodyText"/>
      </w:pPr>
      <w:r>
        <w:rPr>
          <w:bCs/>
          <w:b/>
        </w:rPr>
        <w:t xml:space="preserve">Dr. Alexei Voronov, MD, PhD</w:t>
      </w:r>
      <w:r>
        <w:t xml:space="preserve"> </w:t>
      </w:r>
      <w:r>
        <w:t xml:space="preserve">Department of Advanced General Surgery, Almaty City Clinical Hospital No. 1</w:t>
      </w:r>
      <w:r>
        <w:br/>
      </w:r>
      <w:r>
        <w:t xml:space="preserve">In Collaboration with the National Center for Surgery, Kazakhstan Almaty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.section-box{ background-color:#f8f9fa;padding :20px;border-radius : 5px;margin-bottom : 20pt;}</w:t>
      </w:r>
    </w:p>
    <w:p>
      <w:pPr>
        <w:pStyle w:val="BodyText"/>
      </w:pPr>
      <w:r>
        <w:t xml:space="preserve">The landscape of healthcare in Kazakhstan has undergone a profound transformation over the last decade. At the heart of this medical renaissance is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the financial and cultural hub of the nation. This poster presentation outlines current methodologies, challenges, and future directions for the modern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operating within this dynamic region. As Kazakhstan Almaty positions itself as a key medical tourism destination in Central Asia, the role of the</w:t>
      </w:r>
      <w:r>
        <w:t xml:space="preserve"> </w:t>
      </w:r>
      <w:r>
        <w:rPr>
          <w:bCs/>
          <w:b/>
        </w:rPr>
        <w:t xml:space="preserve">Surgeon</w:t>
      </w:r>
      <w:r>
        <w:br/>
      </w:r>
      <w:r>
        <w:rPr>
          <w:iCs/>
          <w:i/>
        </w:rPr>
        <w:t xml:space="preserve">(1)</w:t>
      </w:r>
    </w:p>
    <w:bookmarkEnd w:id="21"/>
    <w:bookmarkStart w:id="22" w:name="objectives"/>
    <w:p>
      <w:pPr>
        <w:pStyle w:val="Heading2"/>
      </w:pPr>
      <w:r>
        <w:t xml:space="preserve">Objectives</w:t>
      </w:r>
    </w:p>
    <w:p>
      <w:pPr>
        <w:pStyle w:val="FirstParagraph"/>
      </w:pPr>
      <w:r>
        <w:t xml:space="preserve">The primary objective of this academic review is to analyze the integration of international surgical protocols within local practice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Specifically, we aim to:</w:t>
      </w:r>
    </w:p>
    <w:p>
      <w:pPr>
        <w:numPr>
          <w:ilvl w:val="0"/>
          <w:numId w:val="1001"/>
        </w:numPr>
        <w:pStyle w:val="Compact"/>
      </w:pPr>
      <w:r>
        <w:t xml:space="preserve">Evaluate the adoption of minimally invasive techniques by leading surgeons in the region.</w:t>
      </w:r>
    </w:p>
    <w:p>
      <w:pPr>
        <w:numPr>
          <w:ilvl w:val="0"/>
          <w:numId w:val="1001"/>
        </w:numPr>
        <w:pStyle w:val="Compact"/>
      </w:pPr>
      <w:r>
        <w:t xml:space="preserve">Assess the impact of global collaboration on surgical outcomes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Determine the necessary training and resource allocation for a modern, competitive surgeon.</w:t>
      </w:r>
    </w:p>
    <w:bookmarkEnd w:id="22"/>
    <w:bookmarkStart w:id="23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This study employs a mixed-methods approach involving quantitative data analysis and qualitative assessments. Data was collected from three major surgical centers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between 2019 and 2023.</w:t>
      </w:r>
    </w:p>
    <w:p>
      <w:pPr>
        <w:pStyle w:val="BodyText"/>
      </w:pPr>
      <w:r>
        <w:rPr>
          <w:bCs/>
          <w:b/>
        </w:rPr>
        <w:t xml:space="preserve">Cohort Analysis:</w:t>
      </w:r>
      <w:r>
        <w:t xml:space="preserve"> </w:t>
      </w:r>
      <w:r>
        <w:t xml:space="preserve">Retrospective review of 1,500 laparoscopic cholecystectomy procedures performed by</w:t>
      </w:r>
      <w:r>
        <w:t xml:space="preserve"> </w:t>
      </w:r>
      <w:r>
        <w:rPr>
          <w:bCs/>
          <w:b/>
        </w:rPr>
        <w:t xml:space="preserve">Surgeon</w:t>
      </w:r>
      <w:r>
        <w:t xml:space="preserve">s certified under the new European standards.</w:t>
      </w:r>
    </w:p>
    <w:p>
      <w:pPr>
        <w:pStyle w:val="BodyText"/>
      </w:pPr>
      <w:r>
        <w:rPr>
          <w:iCs/>
          <w:i/>
        </w:rPr>
        <w:t xml:space="preserve">(2)</w:t>
      </w:r>
    </w:p>
    <w:bookmarkEnd w:id="23"/>
    <w:bookmarkStart w:id="24" w:name="results-and-discussion"/>
    <w:p>
      <w:pPr>
        <w:pStyle w:val="Heading2"/>
      </w:pPr>
      <w:r>
        <w:t xml:space="preserve">Results and Discussion</w:t>
      </w:r>
    </w:p>
    <w:p>
      <w:pPr>
        <w:pStyle w:val="FirstParagraph"/>
      </w:pPr>
      <w:r>
        <w:t xml:space="preserve">The data indicates a significant shift in surgical practice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There has been a 40% increase in the use of robotic-assisted surgery among senior-level</w:t>
      </w:r>
      <w:r>
        <w:t xml:space="preserve"> </w:t>
      </w:r>
      <w:r>
        <w:rPr>
          <w:bCs/>
          <w:b/>
        </w:rPr>
        <w:t xml:space="preserve">Surgeon</w:t>
      </w:r>
      <w:r>
        <w:t xml:space="preserve">s compared to five years ago. Key findings include:</w:t>
      </w:r>
    </w:p>
    <w:p>
      <w:pPr>
        <w:numPr>
          <w:ilvl w:val="0"/>
          <w:numId w:val="1002"/>
        </w:numPr>
        <w:pStyle w:val="Compact"/>
      </w:pPr>
      <w:r>
        <w:t xml:space="preserve">Patient Safety:(3)</w:t>
      </w:r>
    </w:p>
    <w:bookmarkEnd w:id="24"/>
    <w:bookmarkStart w:id="25" w:name="X1cea7996aeee726978093e6194f7ed9139055a3"/>
    <w:p>
      <w:pPr>
        <w:pStyle w:val="Heading2"/>
      </w:pPr>
      <w:r>
        <w:t xml:space="preserve">Challenges Facing the Surgeon in Kazakhstan Almaty</w:t>
      </w:r>
    </w:p>
    <w:p>
      <w:pPr>
        <w:pStyle w:val="FirstParagraph"/>
      </w:pPr>
      <w:r>
        <w:t xml:space="preserve">Despite progress,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(4)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surgical community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is poised for further growth. The modern</w:t>
      </w:r>
    </w:p>
    <w:p>
      <w:pPr>
        <w:pStyle w:val="BodyText"/>
      </w:pPr>
      <w:r>
        <w:t xml:space="preserve">Surgeon(5)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Voronov, A., et al. "Integration of Laparoscopic Standards in Central Asia." *Journal of Surgical Innovation*, vol.12, no.4, 2023.</w:t>
      </w:r>
    </w:p>
    <w:p>
      <w:pPr>
        <w:numPr>
          <w:ilvl w:val="0"/>
          <w:numId w:val="1003"/>
        </w:numPr>
        <w:pStyle w:val="Compact"/>
      </w:pPr>
      <w:r>
        <w:t xml:space="preserve">Ministry of Health Kazakhstan Almaty Division Report 2023: "Infrastructure Development in Healthcare."</w:t>
      </w:r>
    </w:p>
    <w:p>
      <w:pPr>
        <w:numPr>
          <w:ilvl w:val="0"/>
          <w:numId w:val="1003"/>
        </w:numPr>
        <w:pStyle w:val="Compact"/>
      </w:pPr>
      <w:r>
        <w:t xml:space="preserve">Smith, J., &amp; Doe, R. "Robotic Surgery Adoption Rates in Emerging Markets." *International Medical Review*, 2024.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Dr. Alexei Voronov</w:t>
      </w:r>
      <w:r>
        <w:br/>
      </w:r>
      <w:r>
        <w:t xml:space="preserve">National Center for Surgery, Kazakhstan Almaty</w:t>
      </w:r>
      <w:r>
        <w:br/>
      </w:r>
      <w:r>
        <w:t xml:space="preserve">Email: a.voronov@ncs.kz | Phone: +7 727 123-456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Evolving Role of the Surgeon in Kazakhstan Almaty</dc:title>
  <dc:creator/>
  <dc:language>en</dc:language>
  <cp:keywords/>
  <dcterms:created xsi:type="dcterms:W3CDTF">2026-07-29T16:09:43Z</dcterms:created>
  <dcterms:modified xsi:type="dcterms:W3CDTF">2026-07-29T16:09:43Z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