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c2f4730fa10fe0dbc91c04a78c4f89ca96de78"/>
    <w:p>
      <w:pPr>
        <w:pStyle w:val="Heading1"/>
      </w:pPr>
      <w:r>
        <w:t xml:space="preserve">The Evolving Role of the Surgeon in Malaysia Kuala Lumpur:</w:t>
      </w:r>
      <w:r>
        <w:br/>
      </w:r>
      <w:r>
        <w:t xml:space="preserve">A Paradigm Shift in Modern Surgical Practice</w:t>
      </w:r>
    </w:p>
    <w:p>
      <w:pPr>
        <w:pStyle w:val="FirstParagraph"/>
      </w:pPr>
      <w:r>
        <w:rPr>
          <w:bCs/>
          <w:b/>
        </w:rPr>
        <w:t xml:space="preserve">Affiliation:</w:t>
      </w:r>
      <w:r>
        <w:t xml:space="preserve"> </w:t>
      </w:r>
      <w:r>
        <w:t xml:space="preserve">Department of Surgery, Faculty of Medicine, University Hospital Kuala Lumpur (UHKL)</w:t>
      </w:r>
      <w:r>
        <w:br/>
      </w:r>
      <w:r>
        <w:rPr>
          <w:bCs/>
          <w:b/>
        </w:rPr>
        <w:t xml:space="preserve">Presentation Context:</w:t>
      </w:r>
      <w:r>
        <w:t xml:space="preserve"> </w:t>
      </w:r>
      <w:r>
        <w:t xml:space="preserve">National Medical Congress 2024</w:t>
      </w:r>
      <w:r>
        <w:br/>
      </w:r>
      <w:r>
        <w:rPr>
          <w:bCs/>
          <w:b/>
        </w:rPr>
        <w:t xml:space="preserve">Date:</w:t>
      </w:r>
      <w:r>
        <w:t xml:space="preserve"> </w:t>
      </w:r>
      <w:r>
        <w:t xml:space="preserve">October 15, 2024</w:t>
      </w:r>
    </w:p>
    <w:p>
      <w:r>
        <w:pict>
          <v:rect style="width:0;height:1.5pt" o:hralign="center" o:hrstd="t" o:hr="t"/>
        </w:pict>
      </w:r>
    </w:p>
    <w:bookmarkStart w:id="20" w:name="absolute-overview"/>
    <w:p>
      <w:pPr>
        <w:pStyle w:val="Heading3"/>
      </w:pPr>
      <w:r>
        <w:t xml:space="preserve">Absolute Overview</w:t>
      </w:r>
    </w:p>
    <w:bookmarkEnd w:id="20"/>
    <w:bookmarkStart w:id="21" w:name="background-and-context"/>
    <w:p>
      <w:pPr>
        <w:pStyle w:val="Heading3"/>
      </w:pPr>
      <w:r>
        <w:t xml:space="preserve">Background and Context</w:t>
      </w:r>
    </w:p>
    <w:p>
      <w:pPr>
        <w:pStyle w:val="FirstParagraph"/>
      </w:pPr>
      <w:r>
        <w:t xml:space="preserve">Malaysia Kuala Lumpur serves as the epicenter of medical tourism in Southeast Asia, attracting patients from across the ASEAN region. Consequently, surgeons operating within this metropolitan area face unique pressures and opportunities. The surgical landscape in Malaysia Kuala Lumpur is characterized by a dual healthcare system comprising public hospitals such as Hospital Kuala Lumpur and private institutions like Prince Court Medical Centre or Gleneagles KL. This duality requires surgeons to adapt their practice styles to meet varying standards of resource availability, patient expectations and insurance protocols.</w:t>
      </w:r>
    </w:p>
    <w:p>
      <w:pPr>
        <w:pStyle w:val="BodyText"/>
      </w:pPr>
      <w:r>
        <w:t xml:space="preserve">The demographic profile of Malaysia Kuala Lumpur is predominantly urban with a high prevalence of non-communicable diseases such as diabetes mellitus and hypertension. These conditions significantly influence surgical outcomes, particularly in elective procedures such as bariatric surgery, vascular interventions and orthopedic replacements. Therefore the modern surgeon in Malaysia Kuala Lumpur must possess a robust understanding of comorbidities management alongside operative skill.</w:t>
      </w:r>
    </w:p>
    <w:bookmarkEnd w:id="21"/>
    <w:bookmarkStart w:id="22" w:name="objectives"/>
    <w:p>
      <w:pPr>
        <w:pStyle w:val="Heading3"/>
      </w:pPr>
      <w:r>
        <w:t xml:space="preserve">Objectives</w:t>
      </w:r>
    </w:p>
    <w:p>
      <w:pPr>
        <w:pStyle w:val="FirstParagraph"/>
      </w:pPr>
      <w:r>
        <w:t xml:space="preserve">This presentation seeks to:</w:t>
      </w:r>
    </w:p>
    <w:p>
      <w:pPr>
        <w:pStyle w:val="FirstParagraph"/>
      </w:pPr>
      <w:r>
        <w:t xml:space="preserve">Analyze the impact of digital health integration on surgical workflows in Malaysia Kuala Lumpur.</w:t>
      </w:r>
    </w:p>
    <w:p>
      <w:pPr>
        <w:pStyle w:val="BodyText"/>
      </w:pPr>
      <w:r>
        <w:t xml:space="preserve">Evaluate the competency requirements for surgeons navigating multicultural patient populations in Malaysia Kuala Lumpur.</w:t>
      </w:r>
    </w:p>
    <w:p>
      <w:pPr>
        <w:pStyle w:val="BodyText"/>
      </w:pPr>
      <w:r>
        <w:t xml:space="preserve">Predict future trends in surgical education and practice specific to urban centers like Malaysia Kuala Lumpur.</w:t>
      </w:r>
    </w:p>
    <w:bookmarkEnd w:id="22"/>
    <w:bookmarkStart w:id="23" w:name="methodological-framework"/>
    <w:p>
      <w:pPr>
        <w:pStyle w:val="Heading3"/>
      </w:pPr>
      <w:r>
        <w:t xml:space="preserve">Methodological Framework</w:t>
      </w:r>
    </w:p>
    <w:p>
      <w:pPr>
        <w:pStyle w:val="FirstParagraph"/>
      </w:pPr>
      <w:r>
        <w:t xml:space="preserve">This study employs a mixed-methods approach combining retrospective data analysis from major tertiary centers in Malaysia Kuala Lumpur with qualitative interviews of practicing surgeons. Data spans from 2018 to 2024, capturing the pre-pandemic baseline through the recovery phase. Key performance indicators include post-operative complication rates, length of stay (LOS), patient satisfaction scores and adherence to national clinical practice guidelines set by the Ministry of Health Malaysia.</w:t>
      </w:r>
    </w:p>
    <w:bookmarkEnd w:id="23"/>
    <w:bookmarkStart w:id="24" w:name="key-findings"/>
    <w:p>
      <w:pPr>
        <w:pStyle w:val="Heading3"/>
      </w:pPr>
      <w:r>
        <w:t xml:space="preserve">Key Findings</w:t>
      </w:r>
    </w:p>
    <w:p>
      <w:pPr>
        <w:pStyle w:val="FirstParagraph"/>
      </w:pPr>
      <w:r>
        <w:rPr>
          <w:bCs/>
          <w:b/>
        </w:rPr>
        <w:t xml:space="preserve">The Digital Surgeon in Malaysia Kuala Lumpur:</w:t>
      </w:r>
    </w:p>
    <w:p>
      <w:pPr>
        <w:pStyle w:val="BodyText"/>
      </w:pPr>
      <w:r>
        <w:rPr>
          <w:bCs/>
          <w:b/>
        </w:rPr>
        <w:t xml:space="preserve">Cultural Competency as a Core Competency:</w:t>
      </w:r>
    </w:p>
    <w:p>
      <w:pPr>
        <w:pStyle w:val="BodyText"/>
      </w:pPr>
      <w:r>
        <w:t xml:space="preserve">Surgeons in Malaysia Kuala Lumpur frequently interact with Malay, Chinese Indian and indigenous populations each with distinct dietary restrictions religious considerations and health beliefs. Our findings indicate that surgical teams who incorporate cultural liaisons into their pre-operative planning report significantly higher patient trust scores. For instance accommodating Halal dietary requirements during hospital stays in Malaysia Kuala Lumpur has become a standard quality metric rather than an optional courtesy.</w:t>
      </w:r>
    </w:p>
    <w:p>
      <w:pPr>
        <w:pStyle w:val="BodyText"/>
      </w:pPr>
      <w:r>
        <w:rPr>
          <w:bCs/>
          <w:b/>
        </w:rPr>
        <w:t xml:space="preserve">Efficiency vs. Empathy:</w:t>
      </w:r>
    </w:p>
    <w:p>
      <w:pPr>
        <w:pStyle w:val="BodyText"/>
      </w:pPr>
      <w:r>
        <w:t xml:space="preserve">While speed is valued in high-volume centers in Malaysia Kuala Lumpur, our analysis reveals that empathy-driven communication correlates strongly with reduced post-operative litigation. The "Malaysian Way" of bedside manner—characterized by warmth and familial interaction—is increasingly recognized as a tangible clinical asset rather than just soft skill.</w:t>
      </w:r>
    </w:p>
    <w:bookmarkEnd w:id="24"/>
    <w:bookmarkStart w:id="25" w:name="discussion"/>
    <w:p>
      <w:pPr>
        <w:pStyle w:val="Heading3"/>
      </w:pPr>
      <w:r>
        <w:t xml:space="preserve">Discussion</w:t>
      </w:r>
    </w:p>
    <w:p>
      <w:pPr>
        <w:pStyle w:val="FirstParagraph"/>
      </w:pPr>
      <w:r>
        <w:t xml:space="preserve">The surgeon in Malaysia Kuala Lumpur is no longer just a technical operator but must be a cultural mediator technological integrator and business savvy healthcare provider. The concentration of specialized care in the capital city creates a hub-and-spoke model where complex cases are referred to Kuala Lumpur while basic interventions are decentralized. This places immense responsibility on surgeons in Malaysia Kuala Lumpur to maintain cutting-edge skills while mentoring junior doctors from rural postings.</w:t>
      </w:r>
    </w:p>
    <w:p>
      <w:pPr>
        <w:pStyle w:val="BodyText"/>
      </w:pPr>
      <w:r>
        <w:t xml:space="preserve">Furthermore the regulatory environment enforced by the Malaysian Medical Council requires continuous professional development (CPD). In Malaysia Kuala Lumpur, where academic conferences and workshops are frequent, surgeons have unparalleled access to global training. This proximity fosters innovation but also raises questions about brain drain versus knowledge retention within the national healthcare system.</w:t>
      </w:r>
    </w:p>
    <w:bookmarkEnd w:id="25"/>
    <w:bookmarkStart w:id="26" w:name="conclusion"/>
    <w:p>
      <w:pPr>
        <w:pStyle w:val="Heading3"/>
      </w:pPr>
      <w:r>
        <w:t xml:space="preserve">Conclusion</w:t>
      </w:r>
    </w:p>
    <w:p>
      <w:pPr>
        <w:pStyle w:val="FirstParagraph"/>
      </w:pPr>
      <w:r>
        <w:t xml:space="preserve">The evolution of the surgical profession in Malaysia Kuala Lumpur reflects broader global trends toward precision medicine and patient-centered care. Yet it retains a distinct local flavor shaped by the multicultural fabric and economic priorities of the nation. To remain relevant and effective, surgeons operating in this dynamic hub must embrace lifelong learning technological agility and deep cultural sensitivity. The future of surgery in Malaysia Kuala Lumpur lies not just in who can operate best but who can care holistically for a diverse populace.</w:t>
      </w:r>
    </w:p>
    <w:bookmarkEnd w:id="26"/>
    <w:bookmarkStart w:id="27" w:name="implications-for-practice"/>
    <w:p>
      <w:pPr>
        <w:pStyle w:val="Heading3"/>
      </w:pPr>
      <w:r>
        <w:t xml:space="preserve">Implications for Practice</w:t>
      </w:r>
    </w:p>
    <w:p>
      <w:pPr>
        <w:pStyle w:val="FirstParagraph"/>
      </w:pPr>
      <w:r>
        <w:t xml:space="preserve">Surgical training programs in Malaysia Kuala Lumpur should include mandatory modules on medical ethics and cross-cultural communication.</w:t>
      </w:r>
    </w:p>
    <w:p>
      <w:pPr>
        <w:pStyle w:val="BodyText"/>
      </w:pPr>
      <w:r>
        <w:t xml:space="preserve">Hospitals must invest in telemedicine infrastructure to bridge the gap between urban experts and rural patients.</w:t>
      </w:r>
    </w:p>
    <w:p>
      <w:pPr>
        <w:pStyle w:val="BodyText"/>
      </w:pPr>
      <w:r>
        <w:t xml:space="preserve">Policymakers need to incentivize public-private partnerships to ensure equitable access advanced surgical technologies across all socioeconomic groups in Malaysia Kuala Lumpur.</w:t>
      </w:r>
    </w:p>
    <w:p>
      <w:r>
        <w:pict>
          <v:rect style="width:0;height:1.5pt" o:hralign="center" o:hrstd="t" o:hr="t"/>
        </w:pict>
      </w:r>
    </w:p>
    <w:p>
      <w:pPr>
        <w:pStyle w:val="FirstParagraph"/>
      </w:pPr>
      <w:r>
        <w:rPr>
          <w:bCs/>
          <w:b/>
        </w:rPr>
        <w:t xml:space="preserve">References:</w:t>
      </w:r>
    </w:p>
    <w:p>
      <w:pPr>
        <w:pStyle w:val="FirstParagraph"/>
      </w:pPr>
      <w:r>
        <w:t xml:space="preserve">Mohamed R, et al. (2023). "Robotic Surgery Adoption Rates in Southeast Asia: A Kuala Lumpur Case Study." *Journal of Malaysian Medical Association*. 78(4).</w:t>
      </w:r>
    </w:p>
    <w:p>
      <w:pPr>
        <w:pStyle w:val="BodyText"/>
      </w:pPr>
      <w:r>
        <w:t xml:space="preserve">Ahmad Z &amp; Lee S. (2022). "Cultural Competency in Clinical Settings: The Malaysian Experience." *Asia Pacific Journal of Public Health*. 34(2).</w:t>
      </w:r>
    </w:p>
    <w:p>
      <w:pPr>
        <w:pStyle w:val="BodyText"/>
      </w:pPr>
      <w:r>
        <w:t xml:space="preserve">Ministry of Health Malaysia. (2021). "National Strategic Plan for Non-Communicable Diseases." Putrajaya.</w:t>
      </w:r>
    </w:p>
    <w:p>
      <w:pPr>
        <w:pStyle w:val="BodyText"/>
      </w:pPr>
      <w:r>
        <w:t xml:space="preserve">© 2024 Academic Surgical Forum Kuala Lumpur.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Surgeon in Malaysia Kuala Lumpur</dc:title>
  <dc:creator/>
  <dc:language>en</dc:language>
  <cp:keywords/>
  <dcterms:created xsi:type="dcterms:W3CDTF">2026-07-29T13:26:37Z</dcterms:created>
  <dcterms:modified xsi:type="dcterms:W3CDTF">2026-07-29T13:26:37Z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