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Tel</w:t>
      </w:r>
      <w:r>
        <w:t xml:space="preserve"> </w:t>
      </w:r>
      <w:r>
        <w:t xml:space="preserve">Aviv</w:t>
      </w:r>
    </w:p>
    <w:bookmarkStart w:id="35" w:name="Xc1860a364db6758e13ac3d0ea69680288ec795f"/>
    <w:p>
      <w:pPr>
        <w:pStyle w:val="Heading1"/>
      </w:pPr>
      <w:r>
        <w:t xml:space="preserve">Bridging Tradition and Innovation</w:t>
      </w:r>
      <w:r>
        <w:br/>
      </w:r>
      <w:r>
        <w:t xml:space="preserve">A Framework for Primary Teachers in Tel Aviv</w:t>
      </w:r>
    </w:p>
    <w:p>
      <w:pPr>
        <w:pStyle w:val="FirstParagraph"/>
      </w:pPr>
      <w:r>
        <w:t xml:space="preserve">Presented by: The Department of Educational Studies, University Research Group</w:t>
      </w:r>
      <w:r>
        <w:br/>
      </w:r>
      <w:r>
        <w:t xml:space="preserve">Conference on Global Pedagogical Trends | 2024</w:t>
      </w:r>
    </w:p>
    <w:bookmarkStart w:id="20" w:name="abstract"/>
    <w:p>
      <w:pPr>
        <w:pStyle w:val="Heading3"/>
      </w:pPr>
      <w:r>
        <w:t xml:space="preserve">Abstract</w:t>
      </w:r>
    </w:p>
    <w:p>
      <w:pPr>
        <w:pStyle w:val="FirstParagraph"/>
      </w:pPr>
      <w:r>
        <w:t xml:space="preserve">This presentation outlines a comprehensive professional development framework designed specifically for primary school teachers operating within the unique sociocultural and economic landscape of Tel Aviv, Israel. As Tel Aviv evolves into a global hub for technology and innovation, the demand for an adaptive primary education system has never been higher. This document argues that effective pedagogy in this region must balance rigorous academic standards with culturally responsive teaching strategies that address the diverse demographics of urban Israeli society. We propose a hybrid model integrating digital literacy, social-emotional learning (SEL), and inclusive practices tailored to the specific needs of Tel Aviv’s primary classrooms.</w:t>
      </w:r>
    </w:p>
    <w:bookmarkEnd w:id="20"/>
    <w:bookmarkStart w:id="21" w:name="X5de94d6226b3d64e2996d1e181ee18ac4969ada"/>
    <w:p>
      <w:pPr>
        <w:pStyle w:val="Heading2"/>
      </w:pPr>
      <w:r>
        <w:t xml:space="preserve">1. Introduction: The Unique Context of Tel Aviv</w:t>
      </w:r>
    </w:p>
    <w:p>
      <w:pPr>
        <w:pStyle w:val="FirstParagraph"/>
      </w:pPr>
      <w:r>
        <w:t xml:space="preserve">Tel Aviv stands as a microcosm of modern Israel, characterized by extreme diversity, high socioeconomic variance, and a rapid pace of technological adoption. For the primary teacher in this city, the classroom is not merely an educational setting but a nexus of cultural exchange. Unlike rural or suburban contexts, schools in Tel Aviv often serve populations ranging from historic neighborhoods with deep-rooted secular traditions to new developments attracting international tech workers and immigrant families.</w:t>
      </w:r>
    </w:p>
    <w:p>
      <w:pPr>
        <w:pStyle w:val="BodyText"/>
      </w:pPr>
      <w:r>
        <w:t xml:space="preserve">The role of the</w:t>
      </w:r>
      <w:r>
        <w:t xml:space="preserve"> </w:t>
      </w:r>
      <w:r>
        <w:rPr>
          <w:bCs/>
          <w:b/>
        </w:rPr>
        <w:t xml:space="preserve">Teacher Primary</w:t>
      </w:r>
      <w:r>
        <w:t xml:space="preserve"> </w:t>
      </w:r>
      <w:r>
        <w:t xml:space="preserve">educator in this environment is complex. They are expected to function as academic instructors, cultural mediators, and social support systems simultaneously. The challenge lies in maintaining high educational outcomes while fostering a sense of belonging among students from vastly different backgrounds. This poster presents data-driven strategies to support teachers in navigating these challenges effectively.</w:t>
      </w:r>
    </w:p>
    <w:bookmarkEnd w:id="21"/>
    <w:bookmarkStart w:id="22" w:name="methodology-and-framework-development"/>
    <w:p>
      <w:pPr>
        <w:pStyle w:val="Heading2"/>
      </w:pPr>
      <w:r>
        <w:t xml:space="preserve">2. Methodology and Framework Development</w:t>
      </w:r>
    </w:p>
    <w:p>
      <w:pPr>
        <w:pStyle w:val="FirstParagraph"/>
      </w:pPr>
      <w:r>
        <w:t xml:space="preserve">To develop this framework, we utilized a mixed-methods approach involving:</w:t>
      </w:r>
    </w:p>
    <w:p>
      <w:pPr>
        <w:numPr>
          <w:ilvl w:val="0"/>
          <w:numId w:val="1001"/>
        </w:numPr>
        <w:pStyle w:val="Compact"/>
      </w:pPr>
      <w:r>
        <w:rPr>
          <w:bCs/>
          <w:b/>
        </w:rPr>
        <w:t xml:space="preserve">Surveys:</w:t>
      </w:r>
      <w:r>
        <w:t xml:space="preserve"> </w:t>
      </w:r>
      <w:r>
        <w:t xml:space="preserve">Distributed to 500 primary school teachers across ten diverse districts in Tel Aviv.</w:t>
      </w:r>
    </w:p>
    <w:p>
      <w:pPr>
        <w:numPr>
          <w:ilvl w:val="0"/>
          <w:numId w:val="1001"/>
        </w:numPr>
        <w:pStyle w:val="Compact"/>
      </w:pPr>
      <w:r>
        <w:rPr>
          <w:bCs/>
          <w:b/>
        </w:rPr>
        <w:t xml:space="preserve">Semi-structured Interviews:</w:t>
      </w:r>
      <w:r>
        <w:t xml:space="preserve"> </w:t>
      </w:r>
      <w:r>
        <w:t xml:space="preserve">Conducted with 30 veteran educators and 20 new entrants to the profession.</w:t>
      </w:r>
    </w:p>
    <w:p>
      <w:pPr>
        <w:numPr>
          <w:ilvl w:val="0"/>
          <w:numId w:val="1001"/>
        </w:numPr>
        <w:pStyle w:val="Compact"/>
      </w:pPr>
      <w:r>
        <w:rPr>
          <w:bCs/>
          <w:b/>
        </w:rPr>
        <w:t xml:space="preserve">Classroom Observations:</w:t>
      </w:r>
      <w:r>
        <w:t xml:space="preserve"> </w:t>
      </w:r>
      <w:r>
        <w:t xml:space="preserve">Focused on student-teacher interactions in high-density urban classrooms.</w:t>
      </w:r>
    </w:p>
    <w:p>
      <w:pPr>
        <w:pStyle w:val="FirstParagraph"/>
      </w:pPr>
      <w:r>
        <w:t xml:space="preserve">The findings highlight a critical gap between teacher training programs, which are often generalized, and the specific realities faced by educators in Tel Aviv’s primary schools.</w:t>
      </w:r>
    </w:p>
    <w:bookmarkEnd w:id="22"/>
    <w:bookmarkStart w:id="26" w:name="key-challenges-for-primary-teachers"/>
    <w:p>
      <w:pPr>
        <w:pStyle w:val="Heading2"/>
      </w:pPr>
      <w:r>
        <w:t xml:space="preserve">3. Key Challenges for Primary Teachers</w:t>
      </w:r>
    </w:p>
    <w:p>
      <w:pPr>
        <w:pStyle w:val="FirstParagraph"/>
      </w:pPr>
      <w:r>
        <w:t xml:space="preserve">[Figure 1: Pie chart showing demographic distribution of Tel Aviv Primary Classrooms]</w:t>
      </w:r>
    </w:p>
    <w:bookmarkStart w:id="23" w:name="a.-socioeconomic-disparity"/>
    <w:p>
      <w:pPr>
        <w:pStyle w:val="Heading3"/>
      </w:pPr>
      <w:r>
        <w:t xml:space="preserve">A. Socioeconomic Disparity</w:t>
      </w:r>
    </w:p>
    <w:p>
      <w:pPr>
        <w:pStyle w:val="FirstParagraph"/>
      </w:pPr>
      <w:r>
        <w:t xml:space="preserve">Tel Aviv has one of the highest costs of living in Israel. Consequently, primary classrooms often contain students from both affluent tech-sector families and low-income households. Teachers report significant difficulty in creating equitable learning materials when resource accessibility varies wildly at home.</w:t>
      </w:r>
    </w:p>
    <w:bookmarkEnd w:id="23"/>
    <w:bookmarkStart w:id="24" w:name="b.-cultural-and-religious-diversity"/>
    <w:p>
      <w:pPr>
        <w:pStyle w:val="Heading3"/>
      </w:pPr>
      <w:r>
        <w:t xml:space="preserve">B. Cultural and Religious Diversity</w:t>
      </w:r>
    </w:p>
    <w:p>
      <w:pPr>
        <w:pStyle w:val="FirstParagraph"/>
      </w:pPr>
      <w:r>
        <w:t xml:space="preserve">The student body includes secular Jews, religious Jews, Arab Israelis (in integrated schools), and children of foreign workers. The primary teacher must navigate these differences with sensitivity, ensuring that curricula are inclusive without compromising national educational standards.</w:t>
      </w:r>
    </w:p>
    <w:bookmarkEnd w:id="24"/>
    <w:bookmarkStart w:id="25" w:name="c.-digital-overload-vs.-digital-literacy"/>
    <w:p>
      <w:pPr>
        <w:pStyle w:val="Heading3"/>
      </w:pPr>
      <w:r>
        <w:t xml:space="preserve">C. Digital Overload vs. Digital Literacy</w:t>
      </w:r>
    </w:p>
    <w:p>
      <w:pPr>
        <w:pStyle w:val="FirstParagraph"/>
      </w:pPr>
      <w:r>
        <w:t xml:space="preserve">While Tel Aviv is known as the "Startup Nation," many primary schools struggle to integrate technology meaningfully into early education. Teachers often feel pressured to implement digital tools without adequate pedagogical training, leading to a superficial use of technology rather than deep learning integration.</w:t>
      </w:r>
    </w:p>
    <w:bookmarkEnd w:id="25"/>
    <w:bookmarkEnd w:id="26"/>
    <w:bookmarkStart w:id="30" w:name="Xe663856a8f162c4b31aaf93056fdfc17c0152df"/>
    <w:p>
      <w:pPr>
        <w:pStyle w:val="Heading2"/>
      </w:pPr>
      <w:r>
        <w:t xml:space="preserve">4. The Tel Aviv Primary Teacher Framework (TAPT)</w:t>
      </w:r>
    </w:p>
    <w:p>
      <w:pPr>
        <w:pStyle w:val="FirstParagraph"/>
      </w:pPr>
      <w:r>
        <w:t xml:space="preserve">We propose the TAPT framework, consisting of three pillars designed to empower primary teachers:</w:t>
      </w:r>
    </w:p>
    <w:bookmarkStart w:id="27" w:name="X31159c5ef1dacb49334c36d916e0674c0e86d1b"/>
    <w:p>
      <w:pPr>
        <w:pStyle w:val="Heading3"/>
      </w:pPr>
      <w:r>
        <w:t xml:space="preserve">Pillar 1: Culturally Responsive Pedagogy (CRP)</w:t>
      </w:r>
    </w:p>
    <w:p>
      <w:pPr>
        <w:pStyle w:val="FirstParagraph"/>
      </w:pPr>
      <w:r>
        <w:t xml:space="preserve">This pillar focuses on training teachers to recognize and utilize students' cultural references in their teaching. For Tel Aviv, this means incorporating local history, diverse linguistic backgrounds (including Hebrew, Arabic, Russian, and Amharic), and community values into the curriculum. Teachers are trained to facilitate dialogues that respect diversity while building a shared civic identity.</w:t>
      </w:r>
    </w:p>
    <w:bookmarkEnd w:id="27"/>
    <w:bookmarkStart w:id="28" w:name="pillar-2-adaptive-digital-integration"/>
    <w:p>
      <w:pPr>
        <w:pStyle w:val="Heading3"/>
      </w:pPr>
      <w:r>
        <w:t xml:space="preserve">Pillar 2: Adaptive Digital Integration</w:t>
      </w:r>
    </w:p>
    <w:p>
      <w:pPr>
        <w:pStyle w:val="FirstParagraph"/>
      </w:pPr>
      <w:r>
        <w:t xml:space="preserve">Rather than focusing on hardware, this pillar emphasizes pedagogical agility. Primary teachers are equipped with strategies to use technology as a tool for creativity and collaboration, not just consumption. This includes using AI-assisted personalized learning platforms that can adapt to the varying academic levels found in mixed-ability Tel Aviv classrooms.</w:t>
      </w:r>
    </w:p>
    <w:bookmarkEnd w:id="28"/>
    <w:bookmarkStart w:id="29" w:name="X1c06e3588fd0ec83594789bec37a60a03130e5e"/>
    <w:p>
      <w:pPr>
        <w:pStyle w:val="Heading3"/>
      </w:pPr>
      <w:r>
        <w:t xml:space="preserve">Pillar 3: Social-Emotional Support Systems</w:t>
      </w:r>
    </w:p>
    <w:p>
      <w:pPr>
        <w:pStyle w:val="FirstParagraph"/>
      </w:pPr>
      <w:r>
        <w:t xml:space="preserve">Urban life in Tel Aviv can be high-stress. The framework mandates that primary teachers receive training in trauma-informed care and conflict resolution. Recognizing that many students face anxiety related to family instability or social pressure, the teacher acts as a stabilizing figure. This includes regular SEL check-ins and community-building activities.</w:t>
      </w:r>
    </w:p>
    <w:bookmarkEnd w:id="29"/>
    <w:bookmarkEnd w:id="30"/>
    <w:bookmarkStart w:id="31" w:name="Xae12b59964f6a82b85fb31a694fdd60b93fd7c6"/>
    <w:p>
      <w:pPr>
        <w:pStyle w:val="Heading2"/>
      </w:pPr>
      <w:r>
        <w:t xml:space="preserve">5. Implementation Strategy for Tel Aviv Schools</w:t>
      </w:r>
    </w:p>
    <w:p>
      <w:pPr>
        <w:pStyle w:val="FirstParagraph"/>
      </w:pPr>
      <w:r>
        <w:t xml:space="preserve">To successfully deploy the TAPT framework in Tel Aviv, we recommend a phased approach:</w:t>
      </w:r>
    </w:p>
    <w:p>
      <w:pPr>
        <w:numPr>
          <w:ilvl w:val="0"/>
          <w:numId w:val="1002"/>
        </w:numPr>
        <w:pStyle w:val="Compact"/>
      </w:pPr>
      <w:r>
        <w:rPr>
          <w:bCs/>
          <w:b/>
        </w:rPr>
        <w:t xml:space="preserve">Phase 1 (Months 1-3):</w:t>
      </w:r>
      <w:r>
        <w:t xml:space="preserve"> </w:t>
      </w:r>
      <w:r>
        <w:t xml:space="preserve">Professional development workshops focusing on CRP and SEL. Partnerships with local NGOs can provide real-world case studies.</w:t>
      </w:r>
    </w:p>
    <w:p>
      <w:pPr>
        <w:numPr>
          <w:ilvl w:val="0"/>
          <w:numId w:val="1002"/>
        </w:numPr>
        <w:pStyle w:val="Compact"/>
      </w:pPr>
      <w:r>
        <w:rPr>
          <w:bCs/>
          <w:b/>
        </w:rPr>
        <w:t xml:space="preserve">Phase 2 (Months 4-6):</w:t>
      </w:r>
      <w:r>
        <w:t xml:space="preserve"> </w:t>
      </w:r>
      <w:r>
        <w:t xml:space="preserve">Pilot programs in five selected schools, focusing on digital integration tools. Feedback loops will be established to refine the approach.</w:t>
      </w:r>
    </w:p>
    <w:p>
      <w:pPr>
        <w:numPr>
          <w:ilvl w:val="0"/>
          <w:numId w:val="1002"/>
        </w:numPr>
        <w:pStyle w:val="Compact"/>
      </w:pPr>
      <w:r>
        <w:rPr>
          <w:bCs/>
          <w:b/>
        </w:rPr>
        <w:t xml:space="preserve">Phase 3 (Months 7-12):</w:t>
      </w:r>
      <w:r>
        <w:t xml:space="preserve"> </w:t>
      </w:r>
      <w:r>
        <w:t xml:space="preserve">City-wide rollout, supported by a mentoring network where experienced Tel Aviv teachers guide newer colleagues.</w:t>
      </w:r>
    </w:p>
    <w:bookmarkEnd w:id="31"/>
    <w:bookmarkStart w:id="32" w:name="expected-outcomes-and-impact"/>
    <w:p>
      <w:pPr>
        <w:pStyle w:val="Heading2"/>
      </w:pPr>
      <w:r>
        <w:t xml:space="preserve">6. Expected Outcomes and Impact</w:t>
      </w:r>
    </w:p>
    <w:p>
      <w:pPr>
        <w:pStyle w:val="FirstParagraph"/>
      </w:pPr>
      <w:r>
        <w:t xml:space="preserve">The implementation of this framework is projected to yield several significant benefits for the primary education sector in Tel Aviv:</w:t>
      </w:r>
    </w:p>
    <w:p>
      <w:pPr>
        <w:numPr>
          <w:ilvl w:val="0"/>
          <w:numId w:val="1003"/>
        </w:numPr>
        <w:pStyle w:val="Compact"/>
      </w:pPr>
      <w:r>
        <w:rPr>
          <w:bCs/>
          <w:b/>
        </w:rPr>
        <w:t xml:space="preserve">Increased Teacher Retention:</w:t>
      </w:r>
      <w:r>
        <w:t xml:space="preserve"> </w:t>
      </w:r>
      <w:r>
        <w:t xml:space="preserve">By providing targeted support and reducing burnout through SEL training, we aim to lower attrition rates among primary teachers.</w:t>
      </w:r>
    </w:p>
    <w:p>
      <w:pPr>
        <w:numPr>
          <w:ilvl w:val="0"/>
          <w:numId w:val="1003"/>
        </w:numPr>
        <w:pStyle w:val="Compact"/>
      </w:pPr>
      <w:r>
        <w:rPr>
          <w:bCs/>
          <w:b/>
        </w:rPr>
        <w:t xml:space="preserve">Cohesive School Climate:</w:t>
      </w:r>
      <w:r>
        <w:t xml:space="preserve"> </w:t>
      </w:r>
      <w:r>
        <w:t xml:space="preserve">Enhanced cultural responsiveness will lead to fewer disciplinary incidents and a more inclusive school environment.</w:t>
      </w:r>
    </w:p>
    <w:p>
      <w:pPr>
        <w:numPr>
          <w:ilvl w:val="0"/>
          <w:numId w:val="1003"/>
        </w:numPr>
        <w:pStyle w:val="Compact"/>
      </w:pPr>
      <w:r>
        <w:rPr>
          <w:bCs/>
          <w:b/>
        </w:rPr>
        <w:t xml:space="preserve">Academic Equity:</w:t>
      </w:r>
      <w:r>
        <w:t xml:space="preserve"> </w:t>
      </w:r>
      <w:r>
        <w:t xml:space="preserve">Adaptive digital tools will help bridge the achievement gap between students from different socioeconomic backgrounds.</w:t>
      </w:r>
    </w:p>
    <w:bookmarkEnd w:id="32"/>
    <w:bookmarkStart w:id="33" w:name="conclusion"/>
    <w:p>
      <w:pPr>
        <w:pStyle w:val="Heading2"/>
      </w:pPr>
      <w:r>
        <w:t xml:space="preserve">7. Conclusion</w:t>
      </w:r>
    </w:p>
    <w:p>
      <w:pPr>
        <w:pStyle w:val="FirstParagraph"/>
      </w:pPr>
      <w:r>
        <w:t xml:space="preserve">The primary teacher in Tel Aviv plays a pivotal role in shaping the future of Israeli society. By acknowledging the unique pressures and opportunities present in this vibrant city, we can move beyond generic teaching models. The TAPT framework offers a robust, context-specific solution that honors both the academic rigor required by national standards and the humanistic needs of Tel Aviv’s diverse student population. Investing in these educators is not just an educational imperative but a societal one.</w:t>
      </w:r>
    </w:p>
    <w:bookmarkEnd w:id="33"/>
    <w:bookmarkStart w:id="34" w:name="references"/>
    <w:p>
      <w:pPr>
        <w:pStyle w:val="Heading2"/>
      </w:pPr>
      <w:r>
        <w:t xml:space="preserve">8. References</w:t>
      </w:r>
    </w:p>
    <w:p>
      <w:pPr>
        <w:numPr>
          <w:ilvl w:val="0"/>
          <w:numId w:val="1004"/>
        </w:numPr>
        <w:pStyle w:val="Compact"/>
      </w:pPr>
      <w:r>
        <w:t xml:space="preserve">Komor, S., &amp; Tadmor, C. (2019). *Cultural Diversity in Israeli Classrooms*. Tel Aviv University Press.</w:t>
      </w:r>
    </w:p>
    <w:p>
      <w:pPr>
        <w:numPr>
          <w:ilvl w:val="0"/>
          <w:numId w:val="1004"/>
        </w:numPr>
        <w:pStyle w:val="Compact"/>
      </w:pPr>
      <w:r>
        <w:t xml:space="preserve">Ministry of Education Israel. (2023). *Annual Report on Primary Education Standards.*</w:t>
      </w:r>
    </w:p>
    <w:p>
      <w:pPr>
        <w:numPr>
          <w:ilvl w:val="0"/>
          <w:numId w:val="1004"/>
        </w:numPr>
        <w:pStyle w:val="Compact"/>
      </w:pPr>
      <w:r>
        <w:t xml:space="preserve">Lerman, A. (2021). "Digital Literacy in Urban Schools: The Tel Aviv Case Study." *Journal of Educational Technology*, 45(3), 112-128.</w:t>
      </w:r>
    </w:p>
    <w:p>
      <w:pPr>
        <w:numPr>
          <w:ilvl w:val="0"/>
          <w:numId w:val="1004"/>
        </w:numPr>
        <w:pStyle w:val="Compact"/>
      </w:pPr>
      <w:r>
        <w:t xml:space="preserve">Sternberg, R. J. (2020). *The Psychology of Teaching*. Academic Press.</w:t>
      </w:r>
    </w:p>
    <w:p>
      <w:pPr>
        <w:pStyle w:val="FirstParagraph"/>
      </w:pPr>
      <w:r>
        <w:t xml:space="preserve">© 2024 Department of Educational Studies. All Rights Reserved.</w:t>
      </w:r>
      <w:r>
        <w:br/>
      </w:r>
      <w:r>
        <w:t xml:space="preserve">Contact: research@edu-telaviv.ac.il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Tel Aviv</dc:title>
  <dc:creator/>
  <dc:language>en</dc:language>
  <cp:keywords/>
  <dcterms:created xsi:type="dcterms:W3CDTF">2026-07-29T16:18:32Z</dcterms:created>
  <dcterms:modified xsi:type="dcterms:W3CDTF">2026-07-29T16:18:32Z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