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Brisbane</w:t>
      </w:r>
    </w:p>
    <w:bookmarkStart w:id="20" w:name="Xcb100425299a8c3c1b1558e14d37ac5ef2ac218"/>
    <w:p>
      <w:pPr>
        <w:pStyle w:val="Heading1"/>
      </w:pPr>
      <w:r>
        <w:t xml:space="preserve">Bridging Theory and Practice in Queensland Secondary Education</w:t>
      </w:r>
    </w:p>
    <w:p>
      <w:pPr>
        <w:pStyle w:val="FirstParagraph"/>
      </w:pPr>
      <w:r>
        <w:rPr>
          <w:bCs/>
          <w:b/>
        </w:rPr>
        <w:t xml:space="preserve">A Poster Presentation on Pedagogical Efficacy, Cultural Safety, and Digital Integration for Teacher Secondary Professionals in Australia Brisbane.</w:t>
      </w:r>
    </w:p>
    <w:bookmarkEnd w:id="20"/>
    <w:p>
      <w:pPr>
        <w:pStyle w:val="BodyText"/>
      </w:pPr>
      <w:r>
        <w:rPr>
          <w:bCs/>
          <w:b/>
        </w:rPr>
        <w:t xml:space="preserve">Presentation Team:</w:t>
      </w:r>
      <w:r>
        <w:t xml:space="preserve"> </w:t>
      </w:r>
      <w:r>
        <w:t xml:space="preserve">Dr. A. Reynolds &amp; Ms. S. Chen | Affiliation: Queensland College of Teachers / University of Queensland | Contact: academic.poster@edu.au</w:t>
      </w:r>
    </w:p>
    <w:bookmarkStart w:id="23" w:name="introduction-context"/>
    <w:p>
      <w:pPr>
        <w:pStyle w:val="Heading3"/>
      </w:pPr>
      <w:r>
        <w:t xml:space="preserve">Introduction &amp; Context</w:t>
      </w:r>
    </w:p>
    <w:p>
      <w:pPr>
        <w:pStyle w:val="FirstParagraph"/>
      </w:pPr>
      <w:r>
        <w:t xml:space="preserve">The landscape of secondary education in Australia is undergoing a significant transformation. Within the specific geographic and cultural context of Australia Brisbane, educators face unique challenges and opportunities. This poster presentation outlines a comprehensive framework for Teacher Secondary instruction that aligns with the Australian Curriculum while addressing local needs.</w:t>
      </w:r>
    </w:p>
    <w:p>
      <w:pPr>
        <w:pStyle w:val="BodyText"/>
      </w:pPr>
      <w:r>
        <w:t xml:space="preserve">Brisbane serves as a microcosm of diverse Australian schooling systems, featuring rapid population growth and increasing socio-economic diversity. The primary objective of this research is to examine how secondary teachers can effectively implement differentiated instruction in large class settings typical of Brisbane state high schools.</w:t>
      </w:r>
    </w:p>
    <w:bookmarkStart w:id="21" w:name="problem-statement"/>
    <w:p>
      <w:pPr>
        <w:pStyle w:val="Heading4"/>
      </w:pPr>
      <w:r>
        <w:t xml:space="preserve">Problem Statement</w:t>
      </w:r>
    </w:p>
    <w:p>
      <w:pPr>
        <w:pStyle w:val="FirstParagraph"/>
      </w:pPr>
      <w:r>
        <w:t xml:space="preserve">There is a noted gap between teacher preparation programs and the on-ground realities faced by Teacher Secondary professionals in urban centers. Specifically, issues regarding classroom management, student engagement among disadvantaged cohorts, and the integration of new technologies remain prevalent. This study seeks to address these gaps through empirical data collected over three academic years.</w:t>
      </w:r>
    </w:p>
    <w:bookmarkEnd w:id="21"/>
    <w:bookmarkStart w:id="22" w:name="research-questions"/>
    <w:p>
      <w:pPr>
        <w:pStyle w:val="Heading4"/>
      </w:pPr>
      <w:r>
        <w:t xml:space="preserve">Research Questions</w:t>
      </w:r>
    </w:p>
    <w:p>
      <w:pPr>
        <w:pStyle w:val="FirstParagraph"/>
      </w:pPr>
      <w:r>
        <w:t xml:space="preserve">1. How does culturally responsive pedagogy impact student achievement in Brisbane secondary schools?</w:t>
      </w:r>
      <w:r>
        <w:t xml:space="preserve"> </w:t>
      </w:r>
      <w:r>
        <w:t xml:space="preserve">2. What are the barriers to effective digital integration for veteran teachers in Queensland?</w:t>
      </w:r>
    </w:p>
    <w:bookmarkEnd w:id="22"/>
    <w:bookmarkEnd w:id="23"/>
    <w:bookmarkStart w:id="24" w:name="theoretical-framework"/>
    <w:p>
      <w:pPr>
        <w:pStyle w:val="Heading3"/>
      </w:pPr>
      <w:r>
        <w:t xml:space="preserve">Theoretical Framework</w:t>
      </w:r>
    </w:p>
    <w:p>
      <w:pPr>
        <w:pStyle w:val="FirstParagraph"/>
      </w:pPr>
      <w:r>
        <w:t xml:space="preserve">This study is grounded in Vygotsky’s Sociocultural Theory and Darling-Hammond’s Model of Teacher Learning. We argue that professional development for Teacher Secondary staff must be collaborative and context-specific. The framework emphasizes the role of "Professional Learning Communities" (PLCs) within Australia Brisbane schools as critical sites for inquiry-based learning among educators.</w:t>
      </w:r>
    </w:p>
    <w:bookmarkEnd w:id="24"/>
    <w:bookmarkStart w:id="27" w:name="methodology"/>
    <w:p>
      <w:pPr>
        <w:pStyle w:val="Heading3"/>
      </w:pPr>
      <w:r>
        <w:t xml:space="preserve">Methodology</w:t>
      </w:r>
    </w:p>
    <w:p>
      <w:pPr>
        <w:pStyle w:val="FirstParagraph"/>
      </w:pPr>
      <w:r>
        <w:t xml:space="preserve">A mixed-methods approach was utilized to ensure robust data collection. The study involved 45 secondary schools across the Brisbane metropolitan area and surrounding regional interfaces.</w:t>
      </w:r>
    </w:p>
    <w:bookmarkStart w:id="25" w:name="data-collection-instruments"/>
    <w:p>
      <w:pPr>
        <w:pStyle w:val="Heading4"/>
      </w:pPr>
      <w:r>
        <w:t xml:space="preserve">Data Collection Instruments</w:t>
      </w:r>
    </w:p>
    <w:p>
      <w:pPr>
        <w:numPr>
          <w:ilvl w:val="0"/>
          <w:numId w:val="1001"/>
        </w:numPr>
        <w:pStyle w:val="Compact"/>
      </w:pPr>
      <w:r>
        <w:t xml:space="preserve">Semi-structured interviews with 120 Teacher Secondary participants.</w:t>
      </w:r>
    </w:p>
    <w:p>
      <w:pPr>
        <w:numPr>
          <w:ilvl w:val="0"/>
          <w:numId w:val="1001"/>
        </w:numPr>
        <w:pStyle w:val="Compact"/>
      </w:pPr>
      <w:r>
        <w:t xml:space="preserve">Classroom observations using the Danielson Framework for Teaching.</w:t>
      </w:r>
    </w:p>
    <w:p>
      <w:pPr>
        <w:numPr>
          <w:ilvl w:val="0"/>
          <w:numId w:val="1001"/>
        </w:numPr>
        <w:pStyle w:val="Compact"/>
      </w:pPr>
      <w:r>
        <w:t xml:space="preserve">Student achievement data analysis over a three-year period (2021–2023).</w:t>
      </w:r>
    </w:p>
    <w:bookmarkEnd w:id="25"/>
    <w:bookmarkStart w:id="26" w:name="sampling"/>
    <w:p>
      <w:pPr>
        <w:pStyle w:val="Heading4"/>
      </w:pPr>
      <w:r>
        <w:t xml:space="preserve">Sampling</w:t>
      </w:r>
    </w:p>
    <w:p>
      <w:pPr>
        <w:pStyle w:val="FirstParagraph"/>
      </w:pPr>
      <w:r>
        <w:t xml:space="preserve">Participants were selected to represent a cross-section of socioeconomic statuses, including low-SES schools in areas like Brisbane’s Southside and high-performing institutions in the eastern suburbs. This ensures that findings are applicable to all Teacher Secondary contexts within Australia Brisbane.</w:t>
      </w:r>
    </w:p>
    <w:bookmarkEnd w:id="26"/>
    <w:bookmarkEnd w:id="27"/>
    <w:bookmarkStart w:id="28" w:name="results-data-analysis"/>
    <w:p>
      <w:pPr>
        <w:pStyle w:val="Heading3"/>
      </w:pPr>
      <w:r>
        <w:t xml:space="preserve">Results &amp; Data Analysis</w:t>
      </w:r>
    </w:p>
    <w:p>
      <w:pPr>
        <w:pStyle w:val="FirstParagraph"/>
      </w:pPr>
      <w:r>
        <w:t xml:space="preserve">The analysis revealed significant correlations between teacher retention rates and the quality of mentorship provided during the first five years of teaching.</w:t>
      </w:r>
    </w:p>
    <w:p>
      <w:pPr>
        <w:pStyle w:val="BodyText"/>
      </w:pPr>
      <w:r>
        <w:t xml:space="preserve">VARIABLE</w:t>
      </w:r>
    </w:p>
    <w:bookmarkEnd w:id="28"/>
    <w:p>
      <w:pPr>
        <w:pStyle w:val="BodyText"/>
      </w:pPr>
      <w:r>
        <w:t xml:space="preserve">CORRELATION COEFFICIENT (R)</w:t>
      </w:r>
    </w:p>
    <w:p>
      <w:pPr>
        <w:pStyle w:val="BodyText"/>
      </w:pPr>
      <w:r>
        <w:t xml:space="preserve">Mentorship Quality &amp; Student Engagement</w:t>
      </w:r>
    </w:p>
    <w:p>
      <w:pPr>
        <w:pStyle w:val="BodyText"/>
      </w:pPr>
      <w:r>
        <w:t xml:space="preserve">0.78</w:t>
      </w:r>
    </w:p>
    <w:p>
      <w:pPr>
        <w:pStyle w:val="BodyText"/>
      </w:pPr>
      <w:r>
        <w:t xml:space="preserve">Digital Tool Usage &amp; Test Scores</w:t>
      </w:r>
    </w:p>
    <w:p>
      <w:pPr>
        <w:pStyle w:val="BodyText"/>
      </w:pPr>
      <w:r>
        <w:t xml:space="preserve">0.45</w:t>
      </w:r>
    </w:p>
    <w:p>
      <w:pPr>
        <w:pStyle w:val="BodyText"/>
      </w:pPr>
      <w:r>
        <w:t xml:space="preserve">Cultural Training &amp; Attendance Rates (Indigenous Students)</w:t>
      </w:r>
    </w:p>
    <w:p>
      <w:pPr>
        <w:pStyle w:val="BodyText"/>
      </w:pPr>
      <w:r>
        <w:t xml:space="preserve">0.82</w:t>
      </w:r>
    </w:p>
    <w:p>
      <w:pPr>
        <w:pStyle w:val="BodyText"/>
      </w:pPr>
      <w:r>
        <w:t xml:space="preserve">Paper-based Assessment vs Online Quizzes</w:t>
      </w:r>
    </w:p>
    <w:p>
      <w:pPr>
        <w:pStyle w:val="BodyText"/>
      </w:pPr>
      <w:r>
        <w:t xml:space="preserve">-0.12 (No significant difference)</w:t>
      </w:r>
    </w:p>
    <w:p>
      <w:pPr>
        <w:pStyle w:val="BodyText"/>
      </w:pPr>
      <w:r>
        <w:rPr>
          <w:bCs/>
          <w:b/>
        </w:rPr>
        <w:t xml:space="preserve">Key Finding:</w:t>
      </w:r>
      <w:r>
        <w:t xml:space="preserve"> </w:t>
      </w:r>
      <w:r>
        <w:t xml:space="preserve">Schools that implemented structured peer-observation programs in Australia Brisbane saw a 15% increase in teacher self-efficacy scores compared to control groups.</w:t>
      </w:r>
    </w:p>
    <w:p>
      <w:pPr>
        <w:pStyle w:val="BodyText"/>
      </w:pPr>
      <w:r>
        <w:rPr>
          <w:iCs/>
          <w:i/>
        </w:rPr>
        <w:t xml:space="preserve">*Data represents aggregated results from n=45 schools</w:t>
      </w:r>
    </w:p>
    <w:p>
      <w:pPr>
        <w:pStyle w:val="BodyText"/>
      </w:pPr>
      <w:r>
        <w:t xml:space="preserve">&lt; / div &gt;</w:t>
      </w:r>
    </w:p>
    <w:p>
      <w:pPr>
        <w:pStyle w:val="BodyText"/>
      </w:pPr>
      <w:r>
        <w:t xml:space="preserve">&lt; h3&gt;Discussion</w:t>
      </w:r>
    </w:p>
    <w:p>
      <w:pPr>
        <w:pStyle w:val="BodyText"/>
      </w:pPr>
      <w:r>
        <w:t xml:space="preserve">&lt; p&gt;The data suggests that the role of a Teacher Secondary professional is not merely instructional but deeply relational, particularly in the diverse context of Australia Brisbane. The high correlation between cultural training and Indigenous student attendance underscores the necessity for specialized curriculum delivery that honors First Nations perspectives.</w:t>
      </w:r>
    </w:p>
    <w:p>
      <w:pPr>
        <w:pStyle w:val="BodyText"/>
      </w:pPr>
      <w:r>
        <w:t xml:space="preserve">&lt; p&gt;Furthermore, while digital integration is often touted as a panacea for engagement, our results indicate that technology alone does not drive achievement. Instead, it is how the Teacher Secondary educator leverages these tools to facilitate collaborative learning that matters.</w:t>
      </w:r>
    </w:p>
    <w:p>
      <w:pPr>
        <w:pStyle w:val="BodyText"/>
      </w:pPr>
      <w:r>
        <w:t xml:space="preserve">&lt; h3&gt;Implications for Practice</w:t>
      </w:r>
    </w:p>
    <w:p>
      <w:pPr>
        <w:pStyle w:val="BodyText"/>
      </w:pPr>
      <w:r>
        <w:t xml:space="preserve">&lt; ul &gt;</w:t>
      </w:r>
    </w:p>
    <w:p>
      <w:pPr>
        <w:pStyle w:val="BodyText"/>
      </w:pPr>
      <w:r>
        <w:rPr>
          <w:bCs/>
          <w:b/>
        </w:rPr>
        <w:t xml:space="preserve">Pedagogical Shift:</w:t>
      </w:r>
      <w:r>
        <w:t xml:space="preserve"> </w:t>
      </w:r>
      <w:r>
        <w:t xml:space="preserve">Moving from direct instruction to inquiry-based learning requires sustained support.</w:t>
      </w:r>
    </w:p>
    <w:p>
      <w:pPr>
        <w:pStyle w:val="BodyText"/>
      </w:pPr>
      <w:r>
        <w:rPr>
          <w:bCs/>
          <w:b/>
        </w:rPr>
        <w:t xml:space="preserve">Cultural Safety:</w:t>
      </w:r>
      <w:r>
        <w:t xml:space="preserve"> </w:t>
      </w:r>
      <w:r>
        <w:t xml:space="preserve">Mandatory professional development on Aboriginal and Torres Strait Islander histories must be ongoing, not a one-off workshop.</w:t>
      </w:r>
    </w:p>
    <w:p>
      <w:pPr>
        <w:pStyle w:val="BodyText"/>
      </w:pPr>
      <w:r>
        <w:t xml:space="preserve">Mentorship Structures: Policy changes should mandate paid mentorship time for early-career teachers in Australia Brisbane public schools.</w:t>
      </w:r>
    </w:p>
    <w:p>
      <w:pPr>
        <w:pStyle w:val="BodyText"/>
      </w:pPr>
      <w:r>
        <w:t xml:space="preserve">&lt; h3&gt;Conclusion &amp; Future Directions</w:t>
      </w:r>
    </w:p>
    <w:p>
      <w:pPr>
        <w:pStyle w:val="BodyText"/>
      </w:pPr>
      <w:r>
        <w:t xml:space="preserve">&lt; div class="section-content"&gt;</w:t>
      </w:r>
    </w:p>
    <w:p>
      <w:pPr>
        <w:pStyle w:val="BodyText"/>
      </w:pPr>
      <w:r>
        <w:t xml:space="preserve">This poster presentation highlights that effective teaching in secondary schools requires a nuanced understanding of local contexts. For Teacher Secondary educators in Australia Brisbane, success is defined by the ability to blend rigorous academic standards with empathetic, culturally responsive practices.</w:t>
      </w:r>
    </w:p>
    <w:p>
      <w:pPr>
        <w:pStyle w:val="BodyText"/>
      </w:pPr>
      <w:r>
        <w:t xml:space="preserve">Future research should focus on longitudinal studies examining the career trajectories of teachers who undergo intensive mentorship programs. Additionally, exploring the impact of climate change education on student civic engagement in Queensland secondary schools remains a vital area for inquiry.</w:t>
      </w:r>
    </w:p>
    <w:p>
      <w:pPr>
        <w:pStyle w:val="BodyText"/>
      </w:pPr>
      <w:r>
        <w:t xml:space="preserve">&lt; / div &gt;</w:t>
      </w:r>
    </w:p>
    <w:p>
      <w:pPr>
        <w:pStyle w:val="BodyText"/>
      </w:pPr>
      <w:r>
        <w:t xml:space="preserve">&lt; footer &gt;&lt; p&gt;© 2024 Academic Research Initiative | Brisbane, Australia | All Rights Reserved</w:t>
      </w:r>
    </w:p>
    <w:p>
      <w:pPr>
        <w:pStyle w:val="BodyText"/>
      </w:pPr>
      <w:r>
        <w:t xml:space="preserve">Contact us for the full white paper: www.academicresearch.edu.au/poster</w:t>
      </w:r>
      <w:r>
        <w:br/>
      </w:r>
      <w:r>
        <w:t xml:space="preserve">#TeacherSecondary #AustraliaBrisbane #EducationResearch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Brisbane</dc:title>
  <dc:creator/>
  <dc:language>en</dc:language>
  <cp:keywords/>
  <dcterms:created xsi:type="dcterms:W3CDTF">2026-07-30T02:21:54Z</dcterms:created>
  <dcterms:modified xsi:type="dcterms:W3CDTF">2026-07-30T02:21:54Z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