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Secondary</w:t>
      </w:r>
      <w:r>
        <w:t xml:space="preserve"> </w:t>
      </w:r>
      <w:r>
        <w:t xml:space="preserve">Teacher</w:t>
      </w:r>
      <w:r>
        <w:t xml:space="preserve"> </w:t>
      </w:r>
      <w:r>
        <w:t xml:space="preserve">Poster</w:t>
      </w:r>
      <w:r>
        <w:t xml:space="preserve"> </w:t>
      </w:r>
      <w:r>
        <w:t xml:space="preserve">Presentation</w:t>
      </w:r>
    </w:p>
    <w:bookmarkStart w:id="20" w:name="Xc5bbdc9f4ba8892c76b7630af4d5e7a0186777e"/>
    <w:p>
      <w:pPr>
        <w:pStyle w:val="Heading1"/>
      </w:pPr>
      <w:r>
        <w:t xml:space="preserve">Australian Secondary Teacher: Cultivating Future Leaders in Melbourne</w:t>
      </w:r>
    </w:p>
    <w:p>
      <w:pPr>
        <w:pStyle w:val="FirstParagraph"/>
      </w:pPr>
      <w:r>
        <w:rPr>
          <w:bCs/>
          <w:b/>
        </w:rPr>
        <w:t xml:space="preserve">An Academic Poster Presentation on Modern Pedagogy, Cultural Diversity, and Educational Excellence</w:t>
      </w:r>
    </w:p>
    <w:p>
      <w:pPr>
        <w:pStyle w:val="BodyText"/>
      </w:pPr>
      <w:r>
        <w:rPr>
          <w:iCs/>
          <w:i/>
        </w:rPr>
        <w:t xml:space="preserve">Presentation by [Your Name/Institution]</w:t>
      </w:r>
    </w:p>
    <w:bookmarkEnd w:id="20"/>
    <w:bookmarkStart w:id="22" w:name="introduction"/>
    <w:bookmarkStart w:id="21" w:name="introduction-and-local-context"/>
    <w:p>
      <w:pPr>
        <w:pStyle w:val="Heading2"/>
      </w:pPr>
      <w:r>
        <w:t xml:space="preserve">Introduction and Local Context</w:t>
      </w:r>
    </w:p>
    <w:p>
      <w:pPr>
        <w:pStyle w:val="FirstParagraph"/>
      </w:pPr>
      <w:r>
        <w:t xml:space="preserve">The role of an</w:t>
      </w:r>
      <w:r>
        <w:t xml:space="preserve"> </w:t>
      </w:r>
      <w:r>
        <w:rPr>
          <w:bCs/>
          <w:b/>
        </w:rPr>
        <w:t xml:space="preserve">Australian Secondary Teacher</w:t>
      </w:r>
      <w:r>
        <w:t xml:space="preserve"> </w:t>
      </w:r>
      <w:r>
        <w:t xml:space="preserve">is one that demands a profound commitment to academic rigor, social responsibility, and pedagogical innovation. In the vibrant city of</w:t>
      </w:r>
      <w:r>
        <w:t xml:space="preserve"> </w:t>
      </w:r>
      <w:r>
        <w:rPr>
          <w:bCs/>
          <w:b/>
        </w:rPr>
        <w:t xml:space="preserve">Melbourne Australia</w:t>
      </w:r>
      <w:r>
        <w:t xml:space="preserve">, secondary education stands at the forefront of national educational discourse. As a global cultural hub with a rapidly growing demographic diversity Melbourne presents unique challenges and opportunities for educators aiming to foster inclusive learning environments.</w:t>
      </w:r>
    </w:p>
    <w:p>
      <w:pPr>
        <w:pStyle w:val="BodyText"/>
      </w:pPr>
      <w:r>
        <w:t xml:space="preserve">This presentation explores the multifaceted responsibilities of secondary teachers within this specific geographical and cultural context. It addresses how modern Australian curricula, particularly those aligned with the Victorian Curriculum F-10 (VCE) and senior pathways, require teachers to be more than mere instructors; they must act as facilitators of critical thinking, inclusivity advocates for diverse student populations including Aboriginal communities and recent migrants.,</w:t>
      </w:r>
    </w:p>
    <w:p>
      <w:pPr>
        <w:pStyle w:val="BodyText"/>
      </w:pPr>
      <w:r>
        <w:t xml:space="preserve">The focus here is not just on subject mastery but on the holistic development of adolescents. By examining current trends in technology integration mental health support and cross-cultural competency this paper outlines what it means to be an effective Australian Secondary Teacher today.</w:t>
      </w:r>
    </w:p>
    <w:bookmarkEnd w:id="21"/>
    <w:bookmarkEnd w:id="22"/>
    <w:bookmarkStart w:id="26" w:name="melbourne-context"/>
    <w:bookmarkStart w:id="25" w:name="the-melbourne-educational-landscape"/>
    <w:p>
      <w:pPr>
        <w:pStyle w:val="Heading2"/>
      </w:pPr>
      <w:r>
        <w:t xml:space="preserve">The Melbourne Educational Landscape</w:t>
      </w:r>
    </w:p>
    <w:p>
      <w:pPr>
        <w:pStyle w:val="FirstParagraph"/>
      </w:pPr>
      <w:r>
        <w:t xml:space="preserve">Melbourne has consistently ranked among the world's most liveable cities, but its educational landscape is equally impressive yet complex. The city boasts a high concentration of secondary schools ranging from prestigious private institutions to public comprehensive schools serving varied socioeconomic backgrounds. For an Australian Secondary Teacher, understanding this diversity is crucial.</w:t>
      </w:r>
    </w:p>
    <w:bookmarkStart w:id="23" w:name="cultural-and-linguistic-diversity"/>
    <w:p>
      <w:pPr>
        <w:pStyle w:val="Heading3"/>
      </w:pPr>
      <w:r>
        <w:t xml:space="preserve">Cultural and Linguistic Diversity</w:t>
      </w:r>
    </w:p>
    <w:p>
      <w:pPr>
        <w:pStyle w:val="FirstParagraph"/>
      </w:pPr>
      <w:r>
        <w:t xml:space="preserve">Melbourne’s student body reflects the multicultural fabric of Australia. A significant percentage of students come from non-English speaking backgrounds (NESB). Consequently, Australian Secondary Teachers must employ differentiated instruction strategies that support English Language Learners (ELLs) while maintaining high academic standards. This involves scaffolding complex concepts and utilizing visual aids to ensure accessibility without compromising intellectual depth.</w:t>
      </w:r>
    </w:p>
    <w:bookmarkEnd w:id="23"/>
    <w:bookmarkStart w:id="24" w:name="indigenous-perspectives"/>
    <w:p>
      <w:pPr>
        <w:pStyle w:val="Heading3"/>
      </w:pPr>
      <w:r>
        <w:t xml:space="preserve">Indigenous Perspectives</w:t>
      </w:r>
    </w:p>
    <w:p>
      <w:pPr>
        <w:pStyle w:val="FirstParagraph"/>
      </w:pPr>
      <w:r>
        <w:t xml:space="preserve">In line with the broader national push for reconciliation, Melbourne-based schools are increasingly integrating Aboriginal and Torres Strait Islander histories and cultures into the curriculum. Australian Secondary Teachers are expected to collaborate with Indigenous community members to embed these perspectives authentically across subjects, from History to Science and English.</w:t>
      </w:r>
    </w:p>
    <w:bookmarkEnd w:id="24"/>
    <w:bookmarkEnd w:id="25"/>
    <w:bookmarkEnd w:id="26"/>
    <w:bookmarkStart w:id="31" w:name="pedagogy"/>
    <w:bookmarkStart w:id="30" w:name="advanced-pedagogical-strategies"/>
    <w:p>
      <w:pPr>
        <w:pStyle w:val="Heading2"/>
      </w:pPr>
      <w:r>
        <w:t xml:space="preserve">Advanced Pedagogical Strategies</w:t>
      </w:r>
    </w:p>
    <w:p>
      <w:pPr>
        <w:pStyle w:val="FirstParagraph"/>
      </w:pPr>
      <w:r>
        <w:t xml:space="preserve">The transition from primary to secondary education in Australia marks a shift towards specialized subject teaching. This specialization allows Australian Secondary Teachers to bring their expertise and passion for specific disciplines into the classroom, inspiring students through deep content knowledge.</w:t>
      </w:r>
    </w:p>
    <w:bookmarkStart w:id="27" w:name="inquiry-based-learning"/>
    <w:p>
      <w:pPr>
        <w:pStyle w:val="Heading3"/>
      </w:pPr>
      <w:r>
        <w:t xml:space="preserve">Inquiry-Based Learning</w:t>
      </w:r>
    </w:p>
    <w:p>
      <w:pPr>
        <w:pStyle w:val="FirstParagraph"/>
      </w:pPr>
      <w:r>
        <w:t xml:space="preserve">Moving away from rote memorization, contemporary pedagogy in Melbourne emphasizes inquiry-based learning. Teachers design lessons that encourage students to ask questions investigate phenomena and construct their understanding. This approach mirrors university-level expectations and prepares students for tertiary entrance exams such as the ATAR (Australian Tertiary Admission Rank).</w:t>
      </w:r>
    </w:p>
    <w:bookmarkEnd w:id="27"/>
    <w:bookmarkStart w:id="28" w:name="digital-fluency"/>
    <w:p>
      <w:pPr>
        <w:pStyle w:val="Heading3"/>
      </w:pPr>
      <w:r>
        <w:t xml:space="preserve">Digital Fluency</w:t>
      </w:r>
    </w:p>
    <w:p>
      <w:pPr>
        <w:pStyle w:val="FirstParagraph"/>
      </w:pPr>
      <w:r>
        <w:t xml:space="preserve">In an era of rapid technological advancement, digital fluency is non-negotiable. Melbourne’s tech-savvy environment demands that teachers integrate Learning Management Systems (LMS), cloud-based collaboration tools and interactive software into their daily practice. However the use of technology must be purposeful enhancing rather than distracting from learning outcomes.</w:t>
      </w:r>
    </w:p>
    <w:bookmarkEnd w:id="28"/>
    <w:bookmarkStart w:id="29" w:name="critical-thinking-and-media-literacy"/>
    <w:p>
      <w:pPr>
        <w:pStyle w:val="Heading3"/>
      </w:pPr>
      <w:r>
        <w:t xml:space="preserve">Critical Thinking and Media Literacy</w:t>
      </w:r>
    </w:p>
    <w:p>
      <w:pPr>
        <w:pStyle w:val="FirstParagraph"/>
      </w:pPr>
      <w:r>
        <w:t xml:space="preserve">Australian Secondary Teachers play a vital role in combating misinformation. By teaching media literacy students learn to evaluate sources critically analyze bias and understand the ethical implications of digital content. This skill set is essential for informed citizenship in a democratic society.</w:t>
      </w:r>
    </w:p>
    <w:bookmarkEnd w:id="29"/>
    <w:bookmarkEnd w:id="30"/>
    <w:bookmarkEnd w:id="31"/>
    <w:bookmarkStart w:id="35" w:name="wellbeing"/>
    <w:bookmarkStart w:id="34" w:name="Xde07cef097bd1068d64aee52624b76366d3f83b"/>
    <w:p>
      <w:pPr>
        <w:pStyle w:val="Heading2"/>
      </w:pPr>
      <w:r>
        <w:t xml:space="preserve">Prioritizing Student Wellbeing and Mental Health</w:t>
      </w:r>
    </w:p>
    <w:p>
      <w:pPr>
        <w:pStyle w:val="FirstParagraph"/>
      </w:pPr>
      <w:r>
        <w:t xml:space="preserve">The wellbeing of students has become a central pillar of the Australian educational framework particularly in Victoria. The Victorian Curriculum explicitly includes personal and social capability as one of its cross-curriculum priorities. For an Australian Secondary Teacher this means recognizing that academic success is inextricably linked to emotional health.</w:t>
      </w:r>
    </w:p>
    <w:bookmarkStart w:id="32" w:name="mental-health-support"/>
    <w:p>
      <w:pPr>
        <w:pStyle w:val="Heading3"/>
      </w:pPr>
      <w:r>
        <w:t xml:space="preserve">Mental Health Support</w:t>
      </w:r>
    </w:p>
    <w:p>
      <w:pPr>
        <w:pStyle w:val="FirstParagraph"/>
      </w:pPr>
      <w:r>
        <w:t xml:space="preserve">Adolescence is a period of significant neurological and social change. Teachers often serve as the first line of defense in identifying signs of anxiety depression or social isolation. Professional development for Australian Secondary Teachers increasingly includes training in mental health first aid ensuring educators can respond appropriately to crises and refer students to specialized support services.</w:t>
      </w:r>
    </w:p>
    <w:bookmarkEnd w:id="32"/>
    <w:bookmarkStart w:id="33" w:name="inclusive-classrooms"/>
    <w:p>
      <w:pPr>
        <w:pStyle w:val="Heading3"/>
      </w:pPr>
      <w:r>
        <w:t xml:space="preserve">Inclusive Classrooms</w:t>
      </w:r>
    </w:p>
    <w:p>
      <w:pPr>
        <w:pStyle w:val="FirstParagraph"/>
      </w:pPr>
      <w:r>
        <w:t xml:space="preserve">Creating a safe space where every student feels valued is paramount. This includes addressing bullying promoting respect for diversity and fostering a sense of belonging. In Melbourne’s multicultural schools this involves celebrating different cultural festivals holidays traditions creating an environment where students feel proud of their heritage.</w:t>
      </w:r>
    </w:p>
    <w:bookmarkEnd w:id="33"/>
    <w:bookmarkEnd w:id="34"/>
    <w:bookmarkEnd w:id="35"/>
    <w:bookmarkStart w:id="39" w:name="professionalism"/>
    <w:bookmarkStart w:id="38" w:name="Xbba303b1de06d582a5360395aace17d8026671b"/>
    <w:p>
      <w:pPr>
        <w:pStyle w:val="Heading2"/>
      </w:pPr>
      <w:r>
        <w:t xml:space="preserve">Professional Ethics and Community Engagement</w:t>
      </w:r>
    </w:p>
    <w:p>
      <w:pPr>
        <w:pStyle w:val="FirstParagraph"/>
      </w:pPr>
      <w:r>
        <w:t xml:space="preserve">The role of an Australian Secondary Teacher extends beyond the school gates. Teachers are expected to engage with parents guardians and the wider community. In Melbourne this might involve participating in local council events volunteering at community centers or collaborating with other schools across Australia.</w:t>
      </w:r>
    </w:p>
    <w:bookmarkStart w:id="36" w:name="ethical-practice"/>
    <w:p>
      <w:pPr>
        <w:pStyle w:val="Heading3"/>
      </w:pPr>
      <w:r>
        <w:t xml:space="preserve">Ethical Practice</w:t>
      </w:r>
    </w:p>
    <w:p>
      <w:pPr>
        <w:pStyle w:val="FirstParagraph"/>
      </w:pPr>
      <w:r>
        <w:t xml:space="preserve">Adherence to professional codes of conduct is mandatory. The Victorian Institute of Teaching (VIT) sets strict standards for registration behavior and ethics. Australian Secondary Teachers must maintain boundaries demonstrate confidentiality uphold child safety laws and ensure equitable treatment for all students regardless of ability gender or socioeconomic status.</w:t>
      </w:r>
    </w:p>
    <w:bookmarkEnd w:id="36"/>
    <w:bookmarkStart w:id="37" w:name="lifelong-learning"/>
    <w:p>
      <w:pPr>
        <w:pStyle w:val="Heading3"/>
      </w:pPr>
      <w:r>
        <w:t xml:space="preserve">Lifelong Learning</w:t>
      </w:r>
    </w:p>
    <w:p>
      <w:pPr>
        <w:pStyle w:val="FirstParagraph"/>
      </w:pPr>
      <w:r>
        <w:t xml:space="preserve">Educational research is constantly evolving. Effective teachers commit to continuous professional development attending workshops studying new curriculum updates and reflecting on their own practice through action research. This dedication ensures that teaching methods remain relevant effective and evidence-based.</w:t>
      </w:r>
    </w:p>
    <w:bookmarkEnd w:id="37"/>
    <w:bookmarkEnd w:id="38"/>
    <w:bookmarkEnd w:id="39"/>
    <w:bookmarkStart w:id="40" w:name="conclusion"/>
    <w:p>
      <w:pPr>
        <w:pStyle w:val="Heading2"/>
      </w:pPr>
      <w:r>
        <w:t xml:space="preserve">Conclusion</w:t>
      </w:r>
    </w:p>
    <w:p>
      <w:pPr>
        <w:pStyle w:val="FirstParagraph"/>
      </w:pPr>
      <w:r>
        <w:t xml:space="preserve">In conclusion the identity of an</w:t>
      </w:r>
      <w:r>
        <w:t xml:space="preserve"> </w:t>
      </w:r>
      <w:r>
        <w:rPr>
          <w:bCs/>
          <w:b/>
        </w:rPr>
        <w:t xml:space="preserve">Australian Secondary Teacher</w:t>
      </w:r>
      <w:r>
        <w:t xml:space="preserve"> </w:t>
      </w:r>
      <w:r>
        <w:t xml:space="preserve">is complex multifaceted and deeply impactful. In a city like</w:t>
      </w:r>
      <w:r>
        <w:t xml:space="preserve"> </w:t>
      </w:r>
      <w:r>
        <w:rPr>
          <w:bCs/>
          <w:b/>
        </w:rPr>
        <w:t xml:space="preserve">Melbourne Australia</w:t>
      </w:r>
      <w:r>
        <w:t xml:space="preserve">, where diversity innovation and academic excellence converge, teachers are tasked with shaping the leaders of tomorrow. By embracing inclusive pedagogies prioritizing wellbeing engaging with technology thoughtfully and upholding high ethical standards educators can create transformative learning experiences.</w:t>
      </w:r>
    </w:p>
    <w:p>
      <w:pPr>
        <w:pStyle w:val="BodyText"/>
      </w:pPr>
      <w:r>
        <w:t xml:space="preserve">The future of education in Melbourne relies on teachers who are not only subject experts but also cultural mediators mental health advocates and lifelong learners. As we move forward it is imperative that support systems policies professional development opportunities align to empower these dedicated professionals. Through their work Australian Secondary Teachers contribute significantly to the social cohesion educational achievement and global competitiveness of Australia.</w:t>
      </w:r>
    </w:p>
    <w:bookmarkEnd w:id="40"/>
    <w:p>
      <w:pPr>
        <w:pStyle w:val="BodyText"/>
      </w:pPr>
      <w:r>
        <w:rPr>
          <w:bCs/>
          <w:b/>
        </w:rPr>
        <w:t xml:space="preserve">Australian Secondary Teacher Poster Presentation | Melbourne Context Analysis</w:t>
      </w:r>
    </w:p>
    <w:p>
      <w:pPr>
        <w:pStyle w:val="BodyText"/>
      </w:pPr>
      <w:r>
        <w:t xml:space="preserve">© 2023 Academic Documentation for Educational Purposes in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Secondary Teacher Poster Presentation</dc:title>
  <dc:creator/>
  <dc:language>en</dc:language>
  <cp:keywords/>
  <dcterms:created xsi:type="dcterms:W3CDTF">2026-07-29T18:02:29Z</dcterms:created>
  <dcterms:modified xsi:type="dcterms:W3CDTF">2026-07-29T18:02:29Z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