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Montreal</w:t>
      </w:r>
    </w:p>
    <w:bookmarkStart w:id="20" w:name="bridging-cultures-shaping-futures"/>
    <w:p>
      <w:pPr>
        <w:pStyle w:val="Heading1"/>
      </w:pPr>
      <w:r>
        <w:t xml:space="preserve">Bridging Cultures, Shaping Futures</w:t>
      </w:r>
    </w:p>
    <w:p>
      <w:pPr>
        <w:pStyle w:val="FirstParagraph"/>
      </w:pPr>
      <w:r>
        <w:t xml:space="preserve">An Analysis of Pedagogical Strategies and Institutional Support for Secondary School Teachers in Canada (Montreal)</w:t>
      </w:r>
    </w:p>
    <w:p>
      <w:pPr>
        <w:pStyle w:val="BodyText"/>
      </w:pPr>
      <w:r>
        <w:rPr>
          <w:bCs/>
          <w:b/>
        </w:rPr>
        <w:t xml:space="preserve">Presented by:</w:t>
      </w:r>
      <w:r>
        <w:t xml:space="preserve"> </w:t>
      </w:r>
      <w:r>
        <w:t xml:space="preserve">Dr. A. Lefèvre, Department of Education</w:t>
      </w:r>
      <w:r>
        <w:br/>
      </w:r>
      <w:r>
        <w:rPr>
          <w:bCs/>
          <w:b/>
        </w:rPr>
        <w:t xml:space="preserve">Mémoire National University Institute</w:t>
      </w:r>
      <w:r>
        <w:br/>
      </w:r>
      <w:r>
        <w:t xml:space="preserve">Conference on North American Educational Dynamics | Montreal, QC</w:t>
      </w:r>
    </w:p>
    <w:bookmarkEnd w:id="20"/>
    <w:bookmarkStart w:id="21" w:name="abstract"/>
    <w:p>
      <w:pPr>
        <w:pStyle w:val="Heading2"/>
      </w:pPr>
      <w:r>
        <w:t xml:space="preserve">Abstract</w:t>
      </w:r>
    </w:p>
    <w:p>
      <w:pPr>
        <w:pStyle w:val="FirstParagraph"/>
      </w:pPr>
      <w:r>
        <w:t xml:space="preserve">This poster presentation explores the multifaceted role of the secondary school teacher within the unique socio-educational landscape of Montreal, Quebec. As a linguistic and cultural crossroads in Canada, Montreal presents distinct challenges and opportunities for educators tasked with shaping adolescent development. This study examines how Secondary Teachers in Canada (specifically within the Montreal jurisdiction) navigate bilingual mandates, multicultural integration, and evolving curriculum standards under the Ministry of Education framework.</w:t>
      </w:r>
    </w:p>
    <w:p>
      <w:pPr>
        <w:pStyle w:val="BodyText"/>
      </w:pPr>
      <w:r>
        <w:t xml:space="preserve">The research highlights that effective teaching in this region requires not only subject-matter expertise but also significant intercultural competence and adaptability. We present data regarding teacher retention rates, professional development needs, and the impact of digital pedagogy on student engagement in urban secondary settings.</w:t>
      </w:r>
    </w:p>
    <w:bookmarkEnd w:id="21"/>
    <w:bookmarkStart w:id="22" w:name="contextual-framework"/>
    <w:p>
      <w:pPr>
        <w:pStyle w:val="Heading2"/>
      </w:pPr>
      <w:r>
        <w:t xml:space="preserve">Contextual Framework</w:t>
      </w:r>
    </w:p>
    <w:p>
      <w:pPr>
        <w:pStyle w:val="FirstParagraph"/>
      </w:pPr>
      <w:r>
        <w:t xml:space="preserve">The educational environment in Canada, and particularly in Montreal, is characterized by a complex interplay of English and French language policies. Secondary Teachers must often operate within or across these linguistic divides. Unlike other regions in Canada, the school system is strictly divided between Anglophone public schools (English School Boards) and Francophone public schools (CSDs), both operating under provincial laws but with distinct cultural nuances.</w:t>
      </w:r>
    </w:p>
    <w:p>
      <w:pPr>
        <w:pStyle w:val="BodyText"/>
      </w:pPr>
      <w:r>
        <w:t xml:space="preserve">In Montreal, a city with over 60% of its population identifying as immigrant or first-generation Canadian, the classroom is increasingly diverse. The role of the Teacher Secondary has evolved from mere knowledge transmission to that of a cultural mediator and social support agent. This context demands rigorous adherence to Quebec’s "Living Together" (Vivre-ensemble) curriculum, which emphasizes shared values, democratic citizenship, and secularism.</w:t>
      </w:r>
    </w:p>
    <w:p>
      <w:pPr>
        <w:pStyle w:val="BodyText"/>
      </w:pPr>
      <w:r>
        <w:rPr>
          <w:bCs/>
          <w:b/>
        </w:rPr>
        <w:t xml:space="preserve">Key Insight:</w:t>
      </w:r>
      <w:r>
        <w:t xml:space="preserve"> </w:t>
      </w:r>
      <w:r>
        <w:t xml:space="preserve">Secondary Teachers in Montreal are required to balance provincial mandates with local community realities, often acting as the first line of defense against social isolation among immigrant youth.</w:t>
      </w:r>
    </w:p>
    <w:bookmarkEnd w:id="22"/>
    <w:bookmarkStart w:id="23" w:name="pedagogical-challenges"/>
    <w:p>
      <w:pPr>
        <w:pStyle w:val="Heading2"/>
      </w:pPr>
      <w:r>
        <w:t xml:space="preserve">Pedagogical Challenges</w:t>
      </w:r>
    </w:p>
    <w:p>
      <w:pPr>
        <w:pStyle w:val="FirstParagraph"/>
      </w:pPr>
      <w:r>
        <w:t xml:space="preserve">Recent surveys conducted within Montreal secondary schools indicate three primary challenges facing educators:</w:t>
      </w:r>
    </w:p>
    <w:p>
      <w:pPr>
        <w:numPr>
          <w:ilvl w:val="0"/>
          <w:numId w:val="1001"/>
        </w:numPr>
        <w:pStyle w:val="Compact"/>
      </w:pPr>
      <w:r>
        <w:rPr>
          <w:bCs/>
          <w:b/>
        </w:rPr>
        <w:t xml:space="preserve">Linguistic Diversity:</w:t>
      </w:r>
      <w:r>
        <w:t xml:space="preserve"> </w:t>
      </w:r>
      <w:r>
        <w:t xml:space="preserve">While Quebec is officially French-speaking, many students arrive with limited proficiency in either official language. Teachers must employ differentiated instruction strategies that are both inclusive and academically rigorous.</w:t>
      </w:r>
    </w:p>
    <w:p>
      <w:pPr>
        <w:numPr>
          <w:ilvl w:val="0"/>
          <w:numId w:val="1001"/>
        </w:numPr>
        <w:pStyle w:val="Compact"/>
      </w:pPr>
      <w:r>
        <w:rPr>
          <w:bCs/>
          <w:b/>
        </w:rPr>
        <w:t xml:space="preserve">Mental Health &amp; Well-being:</w:t>
      </w:r>
      <w:r>
        <w:t xml:space="preserve"> </w:t>
      </w:r>
      <w:r>
        <w:t xml:space="preserve">Post-pandemic, Secondary Teachers report a significant increase in student anxiety and behavioral issues. The teacher’s role now heavily overlaps with basic mental health triage, requiring skills beyond standard pedagogical training.</w:t>
      </w:r>
    </w:p>
    <w:p>
      <w:pPr>
        <w:numPr>
          <w:ilvl w:val="0"/>
          <w:numId w:val="1001"/>
        </w:numPr>
        <w:pStyle w:val="Compact"/>
      </w:pPr>
      <w:r>
        <w:rPr>
          <w:bCs/>
          <w:b/>
        </w:rPr>
        <w:t xml:space="preserve">Digital Divide:</w:t>
      </w:r>
      <w:r>
        <w:t xml:space="preserve"> </w:t>
      </w:r>
      <w:r>
        <w:t xml:space="preserve">Although Canada has high tech penetration, equity remains an issue. Teachers must adapt to hybrid learning models while ensuring that digital tools do not exacerbate existing socioeconomic disparities.</w:t>
      </w:r>
    </w:p>
    <w:p>
      <w:pPr>
        <w:pStyle w:val="FirstParagraph"/>
      </w:pPr>
      <w:r>
        <w:t xml:space="preserve">To address these, many Montreal schools are adopting "Advisory Periods" where Secondary Teachers spend dedicated time mentoring small groups of students, fostering a sense of belonging and safety.</w:t>
      </w:r>
    </w:p>
    <w:bookmarkEnd w:id="23"/>
    <w:bookmarkStart w:id="24" w:name="professional-development"/>
    <w:p>
      <w:pPr>
        <w:pStyle w:val="Heading2"/>
      </w:pPr>
      <w:r>
        <w:t xml:space="preserve">Professional Development</w:t>
      </w:r>
    </w:p>
    <w:p>
      <w:pPr>
        <w:pStyle w:val="FirstParagraph"/>
      </w:pPr>
      <w:r>
        <w:t xml:space="preserve">Support structures for Secondary Teachers in Canada are evolving. The Collège des enseignants du Québec (CEQ) plays a pivotal role in establishing ethical standards and professional guidelines. However, local school boards in Montreal offer varying levels of support.</w:t>
      </w:r>
    </w:p>
    <w:p>
      <w:pPr>
        <w:pStyle w:val="BodyText"/>
      </w:pPr>
      <w:r>
        <w:t xml:space="preserve">This study analyzes the efficacy of recent professional development workshops focused on:</w:t>
      </w:r>
    </w:p>
    <w:p>
      <w:pPr>
        <w:numPr>
          <w:ilvl w:val="0"/>
          <w:numId w:val="1002"/>
        </w:numPr>
        <w:pStyle w:val="Compact"/>
      </w:pPr>
      <w:r>
        <w:rPr>
          <w:bCs/>
          <w:b/>
        </w:rPr>
        <w:t xml:space="preserve">Inclusive Education:</w:t>
      </w:r>
      <w:r>
        <w:t xml:space="preserve"> </w:t>
      </w:r>
      <w:r>
        <w:t xml:space="preserve">Training for teachers to support students with learning disabilities (SLD) and those from marginalized backgrounds.</w:t>
      </w:r>
    </w:p>
    <w:p>
      <w:pPr>
        <w:numPr>
          <w:ilvl w:val="0"/>
          <w:numId w:val="1002"/>
        </w:numPr>
        <w:pStyle w:val="Compact"/>
      </w:pPr>
      <w:r>
        <w:rPr>
          <w:bCs/>
          <w:b/>
        </w:rPr>
        <w:t xml:space="preserve">Cultural Humility:</w:t>
      </w:r>
      <w:r>
        <w:t xml:space="preserve"> </w:t>
      </w:r>
      <w:r>
        <w:t xml:space="preserve">Moving beyond tolerance to active engagement with diverse cultural narratives in the curriculum.</w:t>
      </w:r>
    </w:p>
    <w:p>
      <w:pPr>
        <w:numPr>
          <w:ilvl w:val="0"/>
          <w:numId w:val="1002"/>
        </w:numPr>
        <w:pStyle w:val="Compact"/>
      </w:pPr>
      <w:r>
        <w:rPr>
          <w:bCs/>
          <w:b/>
        </w:rPr>
        <w:t xml:space="preserve">Trauma-Informed Practices:</w:t>
      </w:r>
      <w:r>
        <w:t xml:space="preserve"> </w:t>
      </w:r>
      <w:r>
        <w:t xml:space="preserve">Equipping teachers with tools to recognize and respond to trauma, which is prevalent in high-density urban environments like Montreal’s boroughs.</w:t>
      </w:r>
    </w:p>
    <w:p>
      <w:pPr>
        <w:pStyle w:val="FirstParagraph"/>
      </w:pPr>
      <w:r>
        <w:t xml:space="preserve">Data suggests that teachers who participate in ongoing intercultural training report higher job satisfaction and lower burnout rates. This indicates that institutional support is not just a benefit but a necessity for retention in the Montreal secondary education sector.</w:t>
      </w:r>
    </w:p>
    <w:bookmarkEnd w:id="24"/>
    <w:bookmarkStart w:id="25" w:name="case-study-the-community-hub-model"/>
    <w:p>
      <w:pPr>
        <w:pStyle w:val="Heading2"/>
      </w:pPr>
      <w:r>
        <w:t xml:space="preserve">Case Study: The "Community Hub" Model</w:t>
      </w:r>
    </w:p>
    <w:p>
      <w:pPr>
        <w:pStyle w:val="FirstParagraph"/>
      </w:pPr>
      <w:r>
        <w:t xml:space="preserve">We examine a pilot program in the borough of Rosemont–La Petite-Patrie, where Secondary Teachers collaborate with local community organizations. This model positions the school as a community hub.</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Component</w:t>
            </w:r>
          </w:p>
        </w:tc>
        <w:tc>
          <w:tcPr/>
          <w:p>
            <w:pPr>
              <w:pStyle w:val="Compact"/>
              <w:jc w:val="left"/>
            </w:pPr>
            <w:r>
              <w:t xml:space="preserve">Description &amp; Outcome</w:t>
            </w:r>
          </w:p>
        </w:tc>
      </w:tr>
      <w:tr>
        <w:tc>
          <w:tcPr/>
          <w:p>
            <w:pPr>
              <w:pStyle w:val="Compact"/>
              <w:jc w:val="left"/>
            </w:pPr>
            <w:r>
              <w:rPr>
                <w:bCs/>
                <w:b/>
              </w:rPr>
              <w:t xml:space="preserve">Interagency Collaboration</w:t>
            </w:r>
          </w:p>
        </w:tc>
        <w:tc>
          <w:tcPr/>
          <w:p>
            <w:pPr>
              <w:pStyle w:val="Compact"/>
              <w:jc w:val="left"/>
            </w:pPr>
            <w:r>
              <w:t xml:space="preserve">Teachers work with social workers and youth centers to create wrap-around services for at-risk students.</w:t>
            </w:r>
          </w:p>
        </w:tc>
      </w:tr>
      <w:tr>
        <w:tc>
          <w:tcPr/>
          <w:p>
            <w:pPr>
              <w:pStyle w:val="Compact"/>
              <w:jc w:val="left"/>
            </w:pPr>
            <w:r>
              <w:rPr>
                <w:bCs/>
                <w:b/>
              </w:rPr>
              <w:t xml:space="preserve">Cultural Integration</w:t>
            </w:r>
          </w:p>
        </w:tc>
        <w:tc>
          <w:tcPr/>
          <w:p>
            <w:pPr>
              <w:pStyle w:val="Compact"/>
              <w:jc w:val="left"/>
            </w:pPr>
            <w:r>
              <w:t xml:space="preserve">Curriculum modules co-created by teachers and immigrant parents reflect local diaspora histories, increasing student engagement.</w:t>
            </w:r>
          </w:p>
        </w:tc>
      </w:tr>
      <w:tr>
        <w:tc>
          <w:tcPr/>
          <w:p>
            <w:pPr>
              <w:pStyle w:val="Compact"/>
              <w:jc w:val="left"/>
            </w:pPr>
            <w:r>
              <w:rPr>
                <w:bCs/>
                <w:b/>
              </w:rPr>
              <w:t xml:space="preserve">Teacher Autonomy</w:t>
            </w:r>
          </w:p>
        </w:tc>
        <w:tc>
          <w:tcPr/>
          <w:p>
            <w:pPr>
              <w:pStyle w:val="Compact"/>
              <w:jc w:val="left"/>
            </w:pPr>
            <w:r>
              <w:t xml:space="preserve">Educators report feeling more empowered when allowed to adapt materials to their specific community context.</w:t>
            </w:r>
          </w:p>
        </w:tc>
      </w:tr>
    </w:tbl>
    <w:p>
      <w:pPr>
        <w:pStyle w:val="BodyText"/>
      </w:pPr>
      <w:r>
        <w:t xml:space="preserve">This model demonstrates that when Secondary Teachers are given the autonomy to integrate local cultural resources, student attendance and academic performance improve significantly. It reinforces the idea that teaching in Montreal is inherently a community-based endeavor.</w:t>
      </w:r>
    </w:p>
    <w:bookmarkEnd w:id="25"/>
    <w:bookmarkStart w:id="26" w:name="conclusion-recommendations"/>
    <w:p>
      <w:pPr>
        <w:pStyle w:val="Heading2"/>
      </w:pPr>
      <w:r>
        <w:t xml:space="preserve">Conclusion &amp; Recommendations</w:t>
      </w:r>
    </w:p>
    <w:p>
      <w:pPr>
        <w:pStyle w:val="FirstParagraph"/>
      </w:pPr>
      <w:r>
        <w:t xml:space="preserve">The role of the Secondary Teacher in Montreal is dynamic and demanding. They are not only educators but also cultural navigators, mental health supporters, and community connectors. To sustain this vital workforce in Canada’s second-largest city, we propose the following:</w:t>
      </w:r>
    </w:p>
    <w:p>
      <w:pPr>
        <w:numPr>
          <w:ilvl w:val="0"/>
          <w:numId w:val="1003"/>
        </w:numPr>
        <w:pStyle w:val="Compact"/>
      </w:pPr>
      <w:r>
        <w:rPr>
          <w:bCs/>
          <w:b/>
        </w:rPr>
        <w:t xml:space="preserve">Enhanced Funding:</w:t>
      </w:r>
      <w:r>
        <w:t xml:space="preserve"> </w:t>
      </w:r>
      <w:r>
        <w:t xml:space="preserve">Allocate specific funds for bilingual and multicultural professional development.</w:t>
      </w:r>
    </w:p>
    <w:p>
      <w:pPr>
        <w:numPr>
          <w:ilvl w:val="0"/>
          <w:numId w:val="1003"/>
        </w:numPr>
        <w:pStyle w:val="Compact"/>
      </w:pPr>
      <w:r>
        <w:rPr>
          <w:bCs/>
          <w:b/>
        </w:rPr>
        <w:t xml:space="preserve">Mentorship Programs:</w:t>
      </w:r>
      <w:r>
        <w:t xml:space="preserve"> </w:t>
      </w:r>
      <w:r>
        <w:t xml:space="preserve">Establish robust mentorship systems pairing new teachers with experienced educators who understand the Montreal context.</w:t>
      </w:r>
    </w:p>
    <w:p>
      <w:pPr>
        <w:numPr>
          <w:ilvl w:val="0"/>
          <w:numId w:val="1003"/>
        </w:numPr>
        <w:pStyle w:val="Compact"/>
      </w:pPr>
      <w:r>
        <w:rPr>
          <w:bCs/>
          <w:b/>
        </w:rPr>
        <w:t xml:space="preserve">Policy Flexibility:</w:t>
      </w:r>
      <w:r>
        <w:t xml:space="preserve"> </w:t>
      </w:r>
      <w:r>
        <w:t xml:space="preserve">Allow school boards greater flexibility in adapting provincial curricula to reflect local immigrant demographics.</w:t>
      </w:r>
    </w:p>
    <w:p>
      <w:pPr>
        <w:pStyle w:val="FirstParagraph"/>
      </w:pPr>
      <w:r>
        <w:t xml:space="preserve">By investing in the professional well-being and cultural competence of Secondary Teachers, Canada can ensure that its education system remains equitable, inclusive, and high-performing. The Montreal experience serves as a microcosm for the broader challenges facing urban education in North America.</w:t>
      </w:r>
    </w:p>
    <w:bookmarkEnd w:id="26"/>
    <w:bookmarkStart w:id="27" w:name="references"/>
    <w:p>
      <w:pPr>
        <w:pStyle w:val="Heading3"/>
      </w:pPr>
      <w:r>
        <w:t xml:space="preserve">References</w:t>
      </w:r>
    </w:p>
    <w:p>
      <w:pPr>
        <w:numPr>
          <w:ilvl w:val="0"/>
          <w:numId w:val="1004"/>
        </w:numPr>
        <w:pStyle w:val="Compact"/>
      </w:pPr>
      <w:r>
        <w:t xml:space="preserve">Ministère de l’Éducation du Québec. (2023). *Quebec Education Program: Secondary Cycle Two*. Quebec Government.</w:t>
      </w:r>
    </w:p>
    <w:p>
      <w:pPr>
        <w:numPr>
          <w:ilvl w:val="0"/>
          <w:numId w:val="1004"/>
        </w:numPr>
        <w:pStyle w:val="Compact"/>
      </w:pPr>
      <w:r>
        <w:t xml:space="preserve">College of Teachers of Quebec (CEQ). (2024). *Professional Ethics and Competency Framework for the Teaching Profession*. Montreal, QC.</w:t>
      </w:r>
    </w:p>
    <w:p>
      <w:pPr>
        <w:numPr>
          <w:ilvl w:val="0"/>
          <w:numId w:val="1004"/>
        </w:numPr>
        <w:pStyle w:val="Compact"/>
      </w:pPr>
      <w:r>
        <w:t xml:space="preserve">Statistics Canada. (2023). *Census Profile: City of Montreal*. Ottawa, ON.</w:t>
      </w:r>
    </w:p>
    <w:p>
      <w:pPr>
        <w:numPr>
          <w:ilvl w:val="0"/>
          <w:numId w:val="1004"/>
        </w:numPr>
        <w:pStyle w:val="Compact"/>
      </w:pPr>
      <w:r>
        <w:t xml:space="preserve">Lefèvre, A. (2024). "Urban Pedagogy in Multilingual Contexts." *Journal of Canadian Educational Studies*, 45(2), 112-130.</w:t>
      </w:r>
    </w:p>
    <w:p>
      <w:pPr>
        <w:pStyle w:val="FirstParagraph"/>
      </w:pPr>
      <w:r>
        <w:rPr>
          <w:bCs/>
          <w:b/>
        </w:rPr>
        <w:t xml:space="preserve">Contact:</w:t>
      </w:r>
      <w:r>
        <w:t xml:space="preserve"> </w:t>
      </w:r>
      <w:r>
        <w:t xml:space="preserve">a.lefevre@memorialu.qc.ca |</w:t>
      </w:r>
      <w:r>
        <w:t xml:space="preserve"> </w:t>
      </w:r>
      <w:r>
        <w:rPr>
          <w:bCs/>
          <w:b/>
        </w:rPr>
        <w:t xml:space="preserve">Affiliation:</w:t>
      </w:r>
      <w:r>
        <w:t xml:space="preserve"> </w:t>
      </w:r>
      <w:r>
        <w:t xml:space="preserve">Department of Education, Memorial National University Institute, Montreal, Canada</w:t>
      </w:r>
    </w:p>
    <w:p>
      <w:pPr>
        <w:pStyle w:val="BodyText"/>
      </w:pPr>
      <w:r>
        <w:t xml:space="preserve">© 2024 Poster Presentation Academic Document.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Montreal</dc:title>
  <dc:creator/>
  <dc:language>en</dc:language>
  <cp:keywords/>
  <dcterms:created xsi:type="dcterms:W3CDTF">2026-07-30T03:59:49Z</dcterms:created>
  <dcterms:modified xsi:type="dcterms:W3CDTF">2026-07-30T03:59:49Z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