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Colombia</w:t>
      </w:r>
    </w:p>
    <w:bookmarkStart w:id="20" w:name="X0a9f0847cab8119d1e0ff4d8a6e27408c7155e5"/>
    <w:p>
      <w:pPr>
        <w:pStyle w:val="Heading1"/>
      </w:pPr>
      <w:r>
        <w:t xml:space="preserve">Redefining the Secondary Teacher in Colombia: Competencies, Challenges, and Pedagogical Innovation</w:t>
      </w:r>
    </w:p>
    <w:p>
      <w:pPr>
        <w:pStyle w:val="FirstParagraph"/>
      </w:pPr>
      <w:r>
        <w:t xml:space="preserve">A Comprehensive Analysis for Bogotá’s Educational Landscape</w:t>
      </w:r>
    </w:p>
    <w:p>
      <w:pPr>
        <w:pStyle w:val="BodyText"/>
      </w:pPr>
      <w:r>
        <w:t xml:space="preserve">Presented at the International Symposium on Latin American Education Systems</w:t>
      </w:r>
      <w:r>
        <w:br/>
      </w:r>
      <w:r>
        <w:t xml:space="preserve">Bogotá D.C., Colombia | 2024</w:t>
      </w:r>
    </w:p>
    <w:bookmarkEnd w:id="20"/>
    <w:p>
      <w:pPr>
        <w:pStyle w:val="BodyText"/>
      </w:pPr>
      <w:r>
        <w:t xml:space="preserve">The role of the secondary teacher in Colombia has undergone significant transformation over the past two decades. As Bogotá, the capital city, serves as a microcosm of Colombia’s broader educational dynamics—characterized by both rapid modernization and persistent socioeconomic disparities—the profile of an effective secondary educator has evolved beyond mere content delivery. This poster presentation explores the multifaceted dimensions required for a secondary teacher to thrive in Bogotá’s complex academic ecosystem. It argues that contemporary pedagogy in this region requires a hybrid approach, blending rigorous academic standards with socio-emotional intelligence and technological fluency.</w:t>
      </w:r>
    </w:p>
    <w:p>
      <w:pPr>
        <w:pStyle w:val="BodyText"/>
      </w:pPr>
      <w:r>
        <w:t xml:space="preserve">In Colombia, secondary education (grades 6 through 11) is critical for national development and individual social mobility. However, Bogotá faces unique challenges including urban violence impacts on student mental health, digital inequality among diverse socioeconomic strata (Estratos), and the pressure of standardized testing via the ICFES Saber 11 exams. Consequently, the secondary teacher in this context must act not only as an instructor but also as a mentor, social worker, and technological facilitator.</w:t>
      </w:r>
    </w:p>
    <w:p>
      <w:pPr>
        <w:pStyle w:val="BodyText"/>
      </w:pPr>
      <w:r>
        <w:t xml:space="preserve">To address the specific needs of Colombian students in a metropolitan setting like Bogotá, secondary teachers must develop four primary competency pillars:</w:t>
      </w:r>
    </w:p>
    <w:p>
      <w:pPr>
        <w:pStyle w:val="BodyText"/>
      </w:pPr>
      <w:r>
        <w:rPr>
          <w:bCs/>
          <w:b/>
        </w:rPr>
        <w:t xml:space="preserve">A. Pedagogical Content Knowledge (PCK) with Local Relevance</w:t>
      </w:r>
      <w:r>
        <w:br/>
      </w:r>
      <w:r>
        <w:t xml:space="preserve">Teachers must master subject matter (Mathematics, Sciences, Languages) while contextualizing it within Colombian culture. For instance, teaching mathematics through the lens of local urban planning in Bogotá helps students see relevance in their daily lives.</w:t>
      </w:r>
    </w:p>
    <w:p>
      <w:pPr>
        <w:numPr>
          <w:ilvl w:val="0"/>
          <w:numId w:val="1001"/>
        </w:numPr>
        <w:pStyle w:val="Compact"/>
      </w:pPr>
      <w:r>
        <w:rPr>
          <w:bCs/>
          <w:b/>
        </w:rPr>
        <w:t xml:space="preserve">Digital Literacy:</w:t>
      </w:r>
      <w:r>
        <w:t xml:space="preserve"> </w:t>
      </w:r>
      <w:r>
        <w:t xml:space="preserve">The post-pandemic era has accelerated the need for digital tools. Secondary teachers must be proficient in platforms like Educo and Microsoft Teams, ensuring equitable access to learning materials.</w:t>
      </w:r>
    </w:p>
    <w:p>
      <w:pPr>
        <w:numPr>
          <w:ilvl w:val="0"/>
          <w:numId w:val="1001"/>
        </w:numPr>
        <w:pStyle w:val="Compact"/>
      </w:pPr>
      <w:r>
        <w:rPr>
          <w:bCs/>
          <w:b/>
        </w:rPr>
        <w:t xml:space="preserve">Civic and Ethical Education:</w:t>
      </w:r>
      <w:r>
        <w:t xml:space="preserve"> </w:t>
      </w:r>
      <w:r>
        <w:t xml:space="preserve">Given Colombia’s historical context, secondary teachers play a vital role in peacebuilding education (Educación para la Paz). They must foster critical thinking to combat misinformation and promote democratic values.</w:t>
      </w:r>
    </w:p>
    <w:p>
      <w:pPr>
        <w:numPr>
          <w:ilvl w:val="0"/>
          <w:numId w:val="1001"/>
        </w:numPr>
        <w:pStyle w:val="Compact"/>
      </w:pPr>
      <w:r>
        <w:rPr>
          <w:bCs/>
          <w:b/>
        </w:rPr>
        <w:t xml:space="preserve">Inclusive Pedagogy:</w:t>
      </w:r>
      <w:r>
        <w:t xml:space="preserve"> </w:t>
      </w:r>
      <w:r>
        <w:t xml:space="preserve">Bogotá’s schools are increasingly diverse. Teachers require strategies for inclusive education that accommodate students with disabilities, those from rural-to-urban migration backgrounds, and varying linguistic needs.</w:t>
      </w:r>
    </w:p>
    <w:p>
      <w:pPr>
        <w:pStyle w:val="FirstParagraph"/>
      </w:pPr>
      <w:r>
        <w:t xml:space="preserve">Despite the Ministry of National Education’s efforts to improve teacher training through programs like "Docentes de Calidad," secondary teachers in Bogotá face structural hurdles:</w:t>
      </w:r>
    </w:p>
    <w:p>
      <w:pPr>
        <w:numPr>
          <w:ilvl w:val="0"/>
          <w:numId w:val="1002"/>
        </w:numPr>
        <w:pStyle w:val="Compact"/>
      </w:pPr>
      <w:r>
        <w:rPr>
          <w:bCs/>
          <w:b/>
        </w:rPr>
        <w:t xml:space="preserve">Labor Precarity:</w:t>
      </w:r>
      <w:r>
        <w:t xml:space="preserve"> </w:t>
      </w:r>
      <w:r>
        <w:t xml:space="preserve">Many educators are hired under temporary contracts, affecting job stability and long-term pedagogical planning.</w:t>
      </w:r>
    </w:p>
    <w:p>
      <w:pPr>
        <w:numPr>
          <w:ilvl w:val="0"/>
          <w:numId w:val="1002"/>
        </w:numPr>
        <w:pStyle w:val="Compact"/>
      </w:pPr>
      <w:r>
        <w:rPr>
          <w:bCs/>
          <w:b/>
        </w:rPr>
        <w:t xml:space="preserve">Crowded Classrooms:</w:t>
      </w:r>
      <w:r>
        <w:t xml:space="preserve"> </w:t>
      </w:r>
      <w:r>
        <w:t xml:space="preserve">Public schools in Bogotá often exceed recommended student-teacher ratios, making personalized instruction difficult.</w:t>
      </w:r>
    </w:p>
    <w:p>
      <w:pPr>
        <w:numPr>
          <w:ilvl w:val="0"/>
          <w:numId w:val="1002"/>
        </w:numPr>
        <w:pStyle w:val="Compact"/>
      </w:pPr>
      <w:r>
        <w:rPr>
          <w:bCs/>
          <w:b/>
        </w:rPr>
        <w:t xml:space="preserve">Burnout and Well-being:</w:t>
      </w:r>
      <w:r>
        <w:t xml:space="preserve"> </w:t>
      </w:r>
      <w:r>
        <w:t xml:space="preserve">The emotional toll of managing large classes alongside high-stakes testing pressures leads to significant professional burnout rates among secondary teachers.</w:t>
      </w:r>
    </w:p>
    <w:p>
      <w:pPr>
        <w:pStyle w:val="FirstParagraph"/>
      </w:pPr>
      <w:r>
        <w:rPr>
          <w:iCs/>
          <w:i/>
        </w:rPr>
        <w:t xml:space="preserve">This poster highlights that without addressing these structural issues, pedagogical innovations alone cannot sustain the quality of education in the capital.</w:t>
      </w:r>
    </w:p>
    <w:p>
      <w:pPr>
        <w:pStyle w:val="BodyText"/>
      </w:pPr>
      <w:r>
        <w:t xml:space="preserve">We propose a "Community-Embedded Professional Learning" (CEPL) model specifically tailored for Bogotá’s secondary teachers. This framework emphasizes:</w:t>
      </w:r>
    </w:p>
    <w:p>
      <w:pPr>
        <w:numPr>
          <w:ilvl w:val="0"/>
          <w:numId w:val="1003"/>
        </w:numPr>
        <w:pStyle w:val="Compact"/>
      </w:pPr>
      <w:r>
        <w:rPr>
          <w:bCs/>
          <w:b/>
        </w:rPr>
        <w:t xml:space="preserve">Mentorship Networks:</w:t>
      </w:r>
      <w:r>
        <w:t xml:space="preserve"> </w:t>
      </w:r>
      <w:r>
        <w:t xml:space="preserve">Creating cross-school networks where experienced teachers in established institutions mentor newer educators in peripheral communes such as Ciudad Bolívar or Suba.</w:t>
      </w:r>
    </w:p>
    <w:p>
      <w:pPr>
        <w:numPr>
          <w:ilvl w:val="0"/>
          <w:numId w:val="1003"/>
        </w:numPr>
        <w:pStyle w:val="Compact"/>
      </w:pPr>
      <w:r>
        <w:rPr>
          <w:bCs/>
          <w:b/>
        </w:rPr>
        <w:t xml:space="preserve">Action Research:</w:t>
      </w:r>
      <w:r>
        <w:t xml:space="preserve"> </w:t>
      </w:r>
      <w:r>
        <w:t xml:space="preserve">Encouraging secondary teachers to conduct small-scale research within their classrooms to solve immediate local problems, fostering a culture of inquiry and continuous improvement.</w:t>
      </w:r>
    </w:p>
    <w:p>
      <w:pPr>
        <w:numPr>
          <w:ilvl w:val="0"/>
          <w:numId w:val="1003"/>
        </w:numPr>
        <w:pStyle w:val="Compact"/>
      </w:pPr>
      <w:r>
        <w:rPr>
          <w:bCs/>
          <w:b/>
        </w:rPr>
        <w:t xml:space="preserve">Collaborative Curriculum Design:</w:t>
      </w:r>
      <w:r>
        <w:t xml:space="preserve"> </w:t>
      </w:r>
      <w:r>
        <w:t xml:space="preserve">Allowing teachers to adapt national curricula (Derechos Básicos de Aprendizaje) to reflect the reality of Bogotá’s urban geography and socio-economic diversity.</w:t>
      </w:r>
    </w:p>
    <w:p>
      <w:pPr>
        <w:pStyle w:val="FirstParagraph"/>
      </w:pPr>
      <w:r>
        <w:t xml:space="preserve">This approach shifts professional development from top-down mandates to bottom-up, context-sensitive solutions that respect the autonomy and expertise of secondary teachers.</w:t>
      </w:r>
    </w:p>
    <w:p>
      <w:pPr>
        <w:pStyle w:val="BodyText"/>
      </w:pPr>
      <w:r>
        <w:t xml:space="preserve">A preliminary study conducted in three public secondary schools in Bogotá illustrates the impact of targeted tech-integration training. Results indicated that:</w:t>
      </w:r>
    </w:p>
    <w:p>
      <w:pPr>
        <w:numPr>
          <w:ilvl w:val="0"/>
          <w:numId w:val="1004"/>
        </w:numPr>
        <w:pStyle w:val="Compact"/>
      </w:pPr>
      <w:r>
        <w:t xml:space="preserve">Teacher confidence in using digital tools increased by 45% after six months of workshop support.</w:t>
      </w:r>
    </w:p>
    <w:p>
      <w:pPr>
        <w:numPr>
          <w:ilvl w:val="0"/>
          <w:numId w:val="1004"/>
        </w:numPr>
        <w:pStyle w:val="Compact"/>
      </w:pPr>
      <w:r>
        <w:t xml:space="preserve">Student engagement metrics improved, particularly in STEM subjects.</w:t>
      </w:r>
    </w:p>
    <w:p>
      <w:pPr>
        <w:numPr>
          <w:ilvl w:val="0"/>
          <w:numId w:val="1004"/>
        </w:numPr>
        <w:pStyle w:val="Compact"/>
      </w:pPr>
      <w:r>
        <w:t xml:space="preserve">Critical challenges remained regarding infrastructure (internet connectivity), highlighting the need for government investment alongside teacher training.</w:t>
      </w:r>
    </w:p>
    <w:p>
      <w:pPr>
        <w:pStyle w:val="FirstParagraph"/>
      </w:pPr>
      <w:r>
        <w:t xml:space="preserve">This case study underscores that while teacher competency is crucial, it must be supported by adequate institutional resources.</w:t>
      </w:r>
    </w:p>
    <w:p>
      <w:pPr>
        <w:pStyle w:val="BodyText"/>
      </w:pPr>
      <w:r>
        <w:t xml:space="preserve">&lt;</w:t>
      </w:r>
    </w:p>
    <w:p>
      <w:pPr>
        <w:pStyle w:val="BodyText"/>
      </w:pPr>
      <w:r>
        <w:t xml:space="preserve">The secondary teacher in Colombia, particularly in Bogotá, stands at a critical juncture. They are pivotal agents of social change and academic excellence. However, their effectiveness is contingent upon comprehensive support systems that address both pedagogical needs and structural inequities.</w:t>
      </w:r>
    </w:p>
    <w:p>
      <w:pPr>
        <w:pStyle w:val="BodyText"/>
      </w:pPr>
      <w:r>
        <w:rPr>
          <w:bCs/>
          <w:b/>
        </w:rPr>
        <w:t xml:space="preserve">Key Recommendations:</w:t>
      </w:r>
    </w:p>
    <w:p>
      <w:pPr>
        <w:numPr>
          <w:ilvl w:val="0"/>
          <w:numId w:val="1005"/>
        </w:numPr>
        <w:pStyle w:val="Compact"/>
      </w:pPr>
      <w:r>
        <w:t xml:space="preserve">Prioritize mental health support for teachers.</w:t>
      </w:r>
    </w:p>
    <w:p>
      <w:pPr>
        <w:numPr>
          <w:ilvl w:val="0"/>
          <w:numId w:val="1005"/>
        </w:numPr>
        <w:pStyle w:val="Compact"/>
      </w:pPr>
      <w:r>
        <w:t xml:space="preserve">Increase funding for classroom resources in public schools across all socioeconomic strata.</w:t>
      </w:r>
    </w:p>
    <w:p>
      <w:pPr>
        <w:numPr>
          <w:ilvl w:val="0"/>
          <w:numId w:val="1005"/>
        </w:numPr>
        <w:pStyle w:val="Compact"/>
      </w:pPr>
      <w:r>
        <w:t xml:space="preserve">Foster stronger partnerships between universities and schools to bridge the theory-practice gap in teacher training programs.</w:t>
      </w:r>
    </w:p>
    <w:p>
      <w:pPr>
        <w:pStyle w:val="FirstParagraph"/>
      </w:pPr>
      <w:r>
        <w:t xml:space="preserve">&lt;</w:t>
      </w:r>
      <w:r>
        <w:t xml:space="preserve"> </w:t>
      </w:r>
      <w:r>
        <w:t xml:space="preserve">By focusing on these areas, Bogotá can model a sustainable path for secondary education reform that honors the dignity and professional status of its teachers. The future of Colombian education depends on empowering its secondary educators with the tools, respect, and resources they deserve.</w:t>
      </w:r>
    </w:p>
    <w:p>
      <w:pPr>
        <w:numPr>
          <w:ilvl w:val="0"/>
          <w:numId w:val="1006"/>
        </w:numPr>
        <w:pStyle w:val="Compact"/>
      </w:pPr>
      <w:r>
        <w:t xml:space="preserve">Galeano, E. (2019). "Education and Social Cohesion in Urban Colombia." Bogotá: Universidad de los Andes.</w:t>
      </w:r>
    </w:p>
    <w:p>
      <w:pPr>
        <w:numPr>
          <w:ilvl w:val="0"/>
          <w:numId w:val="1006"/>
        </w:numPr>
        <w:pStyle w:val="Compact"/>
      </w:pPr>
      <w:r>
        <w:t xml:space="preserve">Ministry of National Education. (2023). "National Educational Policy Report 2014-2034."</w:t>
      </w:r>
    </w:p>
    <w:p>
      <w:pPr>
        <w:numPr>
          <w:ilvl w:val="0"/>
          <w:numId w:val="1006"/>
        </w:numPr>
        <w:pStyle w:val="Compact"/>
      </w:pPr>
      <w:r>
        <w:t xml:space="preserve">Tedesco, J. C. (2018). "The Crisis in Secondary Education." Journal of Latin American Studies.</w:t>
      </w:r>
    </w:p>
    <w:p>
      <w:pPr>
        <w:pStyle w:val="FirstParagraph"/>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Secondary Teacher Education in Colombia</dc:title>
  <dc:creator/>
  <dc:language>en</dc:language>
  <cp:keywords/>
  <dcterms:created xsi:type="dcterms:W3CDTF">2026-07-29T15:10:35Z</dcterms:created>
  <dcterms:modified xsi:type="dcterms:W3CDTF">2026-07-29T15:10:35Z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