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Reform</w:t>
      </w:r>
      <w:r>
        <w:t xml:space="preserve"> </w:t>
      </w:r>
      <w:r>
        <w:t xml:space="preserve">in</w:t>
      </w:r>
      <w:r>
        <w:t xml:space="preserve"> </w:t>
      </w:r>
      <w:r>
        <w:t xml:space="preserve">Alexandria,</w:t>
      </w:r>
      <w:r>
        <w:t xml:space="preserve"> </w:t>
      </w:r>
      <w:r>
        <w:t xml:space="preserve">Egypt</w:t>
      </w:r>
    </w:p>
    <w:bookmarkStart w:id="39" w:name="X3e28a7bc1b264dc18d6fb4391ed964c7c9ac2f4"/>
    <w:p>
      <w:pPr>
        <w:pStyle w:val="Heading1"/>
      </w:pPr>
      <w:r>
        <w:t xml:space="preserve">Elevating Secondary Education in Alexandria: Strategic Frameworks for the Modern Teacher</w:t>
      </w:r>
    </w:p>
    <w:p>
      <w:pPr>
        <w:pStyle w:val="FirstParagraph"/>
      </w:pPr>
      <w:r>
        <w:rPr>
          <w:bCs/>
          <w:b/>
        </w:rPr>
        <w:t xml:space="preserve">Presentation Title:</w:t>
      </w:r>
      <w:r>
        <w:t xml:space="preserve"> </w:t>
      </w:r>
      <w:r>
        <w:t xml:space="preserve">Bridging Tradition and Innovation: Enhancing Pedagogical Efficacy in Alexandria’s Secondary Schools</w:t>
      </w:r>
    </w:p>
    <w:p>
      <w:pPr>
        <w:pStyle w:val="BodyText"/>
      </w:pPr>
      <w:r>
        <w:rPr>
          <w:bCs/>
          <w:b/>
        </w:rPr>
        <w:t xml:space="preserve">Affiliation:</w:t>
      </w:r>
      <w:r>
        <w:t xml:space="preserve"> </w:t>
      </w:r>
      <w:r>
        <w:t xml:space="preserve">Department of Educational Reform, Faculty of Education, Alexandria University</w:t>
      </w:r>
    </w:p>
    <w:p>
      <w:pPr>
        <w:pStyle w:val="BodyText"/>
      </w:pPr>
      <w:r>
        <w:rPr>
          <w:bCs/>
          <w:b/>
        </w:rPr>
        <w:t xml:space="preserve">Date:</w:t>
      </w:r>
      <w:r>
        <w:t xml:space="preserve"> </w:t>
      </w:r>
      <w:r>
        <w:t xml:space="preserve">October 2023 |</w:t>
      </w:r>
      <w:r>
        <w:t xml:space="preserve"> </w:t>
      </w:r>
      <w:r>
        <w:rPr>
          <w:bCs/>
          <w:b/>
        </w:rPr>
        <w:t xml:space="preserve">Contact:</w:t>
      </w:r>
      <w:r>
        <w:t xml:space="preserve"> </w:t>
      </w:r>
      <w:r>
        <w:t xml:space="preserve">research@alex-edu.eg</w:t>
      </w:r>
    </w:p>
    <w:bookmarkStart w:id="21" w:name="abstract"/>
    <w:p>
      <w:pPr>
        <w:pStyle w:val="Heading2"/>
      </w:pPr>
      <w:bookmarkStart w:id="20" w:name="abstract"/>
      <w:bookmarkEnd w:id="20"/>
      <w:r>
        <w:t xml:space="preserve">Abstract</w:t>
      </w:r>
    </w:p>
    <w:p>
      <w:pPr>
        <w:pStyle w:val="FirstParagraph"/>
      </w:pPr>
      <w:r>
        <w:t xml:space="preserve">The educational landscape in Egypt is undergoing a paradigm shift, with the Ministry of Education and Technical Education (MoETE) spearheading comprehensive reforms to align national curricula with global standards. Alexandria, as Egypt’s second-largest city and a historic hub of intellectual activity, serves as a critical testing ground for these initiatives. This poster presentation explores the evolving role of the</w:t>
      </w:r>
      <w:r>
        <w:t xml:space="preserve"> </w:t>
      </w:r>
      <w:r>
        <w:rPr>
          <w:bCs/>
          <w:b/>
        </w:rPr>
        <w:t xml:space="preserve">Secondary Teacher</w:t>
      </w:r>
      <w:r>
        <w:t xml:space="preserve"> </w:t>
      </w:r>
      <w:r>
        <w:t xml:space="preserve">within this context. While historical pedagogical methods in</w:t>
      </w:r>
      <w:r>
        <w:t xml:space="preserve"> </w:t>
      </w:r>
      <w:r>
        <w:rPr>
          <w:bCs/>
          <w:b/>
        </w:rPr>
        <w:t xml:space="preserve">Egypt Alexandria</w:t>
      </w:r>
      <w:r>
        <w:t xml:space="preserve"> </w:t>
      </w:r>
      <w:r>
        <w:t xml:space="preserve">have relied heavily on rote memorization and teacher-centered instruction, contemporary demands require a shift toward student-centered learning, critical thinking, and digital literacy. This study analyzes current challenges faced by educators in the Alexandria governorate, including resource constraints and large class sizes. We propose a multi-dimensional framework for professional development that integrates technological tools with cultural sensitivity. The findings suggest that targeted training programs focused on active learning strategies significantly improve student engagement and academic performance in secondary schools.</w:t>
      </w:r>
    </w:p>
    <w:bookmarkEnd w:id="21"/>
    <w:bookmarkStart w:id="23" w:name="introduction-the-context-of-alexandria"/>
    <w:p>
      <w:pPr>
        <w:pStyle w:val="Heading2"/>
      </w:pPr>
      <w:bookmarkStart w:id="22" w:name="introduction"/>
      <w:bookmarkEnd w:id="22"/>
      <w:r>
        <w:t xml:space="preserve">Introduction: The Context of Alexandria</w:t>
      </w:r>
    </w:p>
    <w:p>
      <w:pPr>
        <w:pStyle w:val="FirstParagraph"/>
      </w:pPr>
      <w:r>
        <w:t xml:space="preserve">Alexandria holds a unique position in the Egyptian educational ecosystem. As a coastal metropolis with deep historical roots in knowledge and trade, it has long been associated with the Library of Alexandria and intellectual discourse. However, modern secondary education faces significant hurdles. The transition from the traditional preparatory system to the new secondary school structure introduced by recent reforms requires a fundamental rethinking of teaching practices.</w:t>
      </w:r>
    </w:p>
    <w:p>
      <w:pPr>
        <w:pStyle w:val="BodyText"/>
      </w:pPr>
      <w:r>
        <w:t xml:space="preserve">The</w:t>
      </w:r>
      <w:r>
        <w:t xml:space="preserve"> </w:t>
      </w:r>
      <w:r>
        <w:rPr>
          <w:bCs/>
          <w:b/>
        </w:rPr>
        <w:t xml:space="preserve">Secondary Teacher</w:t>
      </w:r>
      <w:r>
        <w:t xml:space="preserve"> </w:t>
      </w:r>
      <w:r>
        <w:t xml:space="preserve">in this region is not merely a transmitter of knowledge but must now act as a facilitator, mentor, and digital guide. The specific socio-economic diversity of Alexandria’s neighborhoods—from the affluent eastern districts to the densely populated central areas—creates varied educational needs. Understanding these local nuances is essential for designing effective intervention strategies.</w:t>
      </w:r>
    </w:p>
    <w:p>
      <w:pPr>
        <w:pStyle w:val="BodyText"/>
      </w:pPr>
      <w:r>
        <w:t xml:space="preserve">This presentation aims to bridge the gap between policy intent and classroom reality. It highlights why understanding the specific environmental factors of</w:t>
      </w:r>
      <w:r>
        <w:t xml:space="preserve"> </w:t>
      </w:r>
      <w:r>
        <w:rPr>
          <w:bCs/>
          <w:b/>
        </w:rPr>
        <w:t xml:space="preserve">Egypt Alexandria</w:t>
      </w:r>
      <w:r>
        <w:t xml:space="preserve"> </w:t>
      </w:r>
      <w:r>
        <w:t xml:space="preserve">is crucial for successful implementation of national educational goals.</w:t>
      </w:r>
    </w:p>
    <w:bookmarkEnd w:id="23"/>
    <w:bookmarkStart w:id="25" w:name="X95f989d6fe1b6a1d56c2154285f89e6fd89d48c"/>
    <w:p>
      <w:pPr>
        <w:pStyle w:val="Heading2"/>
      </w:pPr>
      <w:bookmarkStart w:id="24" w:name="problem-statement"/>
      <w:bookmarkEnd w:id="24"/>
      <w:r>
        <w:t xml:space="preserve">Problem Statement: Challenges in the Classroom</w:t>
      </w:r>
    </w:p>
    <w:p>
      <w:pPr>
        <w:pStyle w:val="FirstParagraph"/>
      </w:pPr>
      <w:r>
        <w:t xml:space="preserve">The primary challenge identified in this study is the "pedagogical lag." While curricula have been updated to emphasize competencies and skills, teacher training has not always kept pace. Key issues include:</w:t>
      </w:r>
    </w:p>
    <w:p>
      <w:pPr>
        <w:numPr>
          <w:ilvl w:val="0"/>
          <w:numId w:val="1001"/>
        </w:numPr>
        <w:pStyle w:val="Compact"/>
      </w:pPr>
      <w:r>
        <w:rPr>
          <w:bCs/>
          <w:b/>
        </w:rPr>
        <w:t xml:space="preserve">Persistent Teacher-Centered Models:</w:t>
      </w:r>
      <w:r>
        <w:t xml:space="preserve"> </w:t>
      </w:r>
      <w:r>
        <w:t xml:space="preserve">Despite reform mandates, many teachers in Alexandria continue to rely on lecturing methods due to lack of confidence or training in active learning techniques.</w:t>
      </w:r>
    </w:p>
    <w:p>
      <w:pPr>
        <w:numPr>
          <w:ilvl w:val="0"/>
          <w:numId w:val="1001"/>
        </w:numPr>
        <w:pStyle w:val="Compact"/>
      </w:pPr>
      <w:r>
        <w:rPr>
          <w:bCs/>
          <w:b/>
        </w:rPr>
        <w:t xml:space="preserve">Digital Divide:</w:t>
      </w:r>
      <w:r>
        <w:t xml:space="preserve"> </w:t>
      </w:r>
      <w:r>
        <w:t xml:space="preserve">While connectivity has improved, equitable access to high-quality digital resources remains inconsistent across different schools in the governorate.</w:t>
      </w:r>
    </w:p>
    <w:p>
      <w:pPr>
        <w:numPr>
          <w:ilvl w:val="0"/>
          <w:numId w:val="1001"/>
        </w:numPr>
        <w:pStyle w:val="Compact"/>
      </w:pPr>
      <w:r>
        <w:rPr>
          <w:bCs/>
          <w:b/>
        </w:rPr>
        <w:t xml:space="preserve">Classroom Management in Large Cohorts:</w:t>
      </w:r>
      <w:r>
        <w:t xml:space="preserve"> </w:t>
      </w:r>
      <w:r>
        <w:t xml:space="preserve">Secondary classes often exceed 40 students, making individualized attention difficult. Teachers struggle to maintain engagement without effective management strategies.</w:t>
      </w:r>
    </w:p>
    <w:p>
      <w:pPr>
        <w:numPr>
          <w:ilvl w:val="0"/>
          <w:numId w:val="1001"/>
        </w:numPr>
        <w:pStyle w:val="Compact"/>
      </w:pPr>
      <w:r>
        <w:rPr>
          <w:bCs/>
          <w:b/>
        </w:rPr>
        <w:t xml:space="preserve">Evaluation Misalignment:</w:t>
      </w:r>
      <w:r>
        <w:t xml:space="preserve"> </w:t>
      </w:r>
      <w:r>
        <w:t xml:space="preserve">There is a disconnect between the formative assessment goals of the new curriculum and the summative pressure of national exams.</w:t>
      </w:r>
    </w:p>
    <w:bookmarkEnd w:id="25"/>
    <w:bookmarkStart w:id="27" w:name="methodology"/>
    <w:p>
      <w:pPr>
        <w:pStyle w:val="Heading2"/>
      </w:pPr>
      <w:bookmarkStart w:id="26" w:name="methodology"/>
      <w:bookmarkEnd w:id="26"/>
      <w:r>
        <w:t xml:space="preserve">Methodology</w:t>
      </w:r>
    </w:p>
    <w:p>
      <w:pPr>
        <w:pStyle w:val="FirstParagraph"/>
      </w:pPr>
      <w:r>
        <w:t xml:space="preserve">This research employed a mixed-methods approach to gather comprehensive data from secondary schools across the Alexandria governorate. The study was conducted over a period of six months and included the following components:</w:t>
      </w:r>
    </w:p>
    <w:p>
      <w:pPr>
        <w:numPr>
          <w:ilvl w:val="0"/>
          <w:numId w:val="1002"/>
        </w:numPr>
        <w:pStyle w:val="Compact"/>
      </w:pPr>
      <w:r>
        <w:rPr>
          <w:bCs/>
          <w:b/>
        </w:rPr>
        <w:t xml:space="preserve">Quantitative Survey:</w:t>
      </w:r>
      <w:r>
        <w:t xml:space="preserve">A structured questionnaire was administered to 350 secondary teachers across 15 public and private institutions in Alexandria. The survey measured teacher self-efficacy, digital literacy levels, and perceived barriers to implementing student-centered learning.</w:t>
      </w:r>
    </w:p>
    <w:p>
      <w:pPr>
        <w:numPr>
          <w:ilvl w:val="0"/>
          <w:numId w:val="1002"/>
        </w:numPr>
        <w:pStyle w:val="Compact"/>
      </w:pPr>
      <w:r>
        <w:rPr>
          <w:bCs/>
          <w:b/>
        </w:rPr>
        <w:t xml:space="preserve">Qualitative Observations:</w:t>
      </w:r>
      <w:r>
        <w:t xml:space="preserve"> </w:t>
      </w:r>
      <w:r>
        <w:t xml:space="preserve">Researchers conducted classroom observations in 20 selected schools to analyze actual teaching practices versus reported practices.</w:t>
      </w:r>
    </w:p>
    <w:p>
      <w:pPr>
        <w:numPr>
          <w:ilvl w:val="0"/>
          <w:numId w:val="1002"/>
        </w:numPr>
        <w:pStyle w:val="Compact"/>
      </w:pPr>
      <w:r>
        <w:rPr>
          <w:bCs/>
          <w:b/>
        </w:rPr>
        <w:t xml:space="preserve">Focused Group Discussions:</w:t>
      </w:r>
      <w:r>
        <w:t xml:space="preserve">Semi-structured interviews were held with 30 school principals and educational supervisors to understand administrative support structures and professional development needs.</w:t>
      </w:r>
    </w:p>
    <w:p>
      <w:pPr>
        <w:pStyle w:val="FirstParagraph"/>
      </w:pPr>
      <w:r>
        <w:t xml:space="preserve">Data analysis utilized SPSS for statistical significance testing and thematic analysis for qualitative insights, ensuring a holistic view of the</w:t>
      </w:r>
      <w:r>
        <w:t xml:space="preserve"> </w:t>
      </w:r>
      <w:r>
        <w:rPr>
          <w:bCs/>
          <w:b/>
        </w:rPr>
        <w:t xml:space="preserve">Secondary Teacher</w:t>
      </w:r>
      <w:r>
        <w:t xml:space="preserve"> </w:t>
      </w:r>
      <w:r>
        <w:t xml:space="preserve">experience in this specific geographic context.</w:t>
      </w:r>
    </w:p>
    <w:bookmarkEnd w:id="27"/>
    <w:bookmarkStart w:id="29" w:name="results-key-findings"/>
    <w:p>
      <w:pPr>
        <w:pStyle w:val="Heading2"/>
      </w:pPr>
      <w:bookmarkStart w:id="28" w:name="results"/>
      <w:bookmarkEnd w:id="28"/>
      <w:r>
        <w:t xml:space="preserve">Results: Key Findings</w:t>
      </w:r>
    </w:p>
    <w:p>
      <w:pPr>
        <w:pStyle w:val="FirstParagraph"/>
      </w:pPr>
      <w:r>
        <w:t xml:space="preserve">Finding Category</w:t>
      </w:r>
    </w:p>
    <w:bookmarkEnd w:id="29"/>
    <w:p>
      <w:pPr>
        <w:pStyle w:val="BodyText"/>
      </w:pPr>
      <w:r>
        <w:t xml:space="preserve">Data Insight</w:t>
      </w:r>
    </w:p>
    <w:p>
      <w:pPr>
        <w:pStyle w:val="BodyText"/>
      </w:pPr>
      <w:r>
        <w:t xml:space="preserve">Pedagogical Adaptation</w:t>
      </w:r>
    </w:p>
    <w:p>
      <w:pPr>
        <w:pStyle w:val="BodyText"/>
      </w:pPr>
      <w:r>
        <w:t xml:space="preserve">Only 35% of teachers reported feeling confident in facilitating group discussions. The majority still preferred direct instruction.</w:t>
      </w:r>
    </w:p>
    <w:p>
      <w:pPr>
        <w:pStyle w:val="BodyText"/>
      </w:pPr>
      <w:r>
        <w:t xml:space="preserve">Digital Integration</w:t>
      </w:r>
    </w:p>
    <w:p>
      <w:pPr>
        <w:pStyle w:val="BodyText"/>
      </w:pPr>
      <w:r>
        <w:t xml:space="preserve">60% of schools had smart boards, but only 25% were used daily for interactive learning rather than static projection.</w:t>
      </w:r>
    </w:p>
    <w:p>
      <w:pPr>
        <w:pStyle w:val="BodyText"/>
      </w:pPr>
      <w:r>
        <w:t xml:space="preserve">Student Engagement</w:t>
      </w:r>
    </w:p>
    <w:p>
      <w:pPr>
        <w:pStyle w:val="BodyText"/>
      </w:pPr>
      <w:r>
        <w:t xml:space="preserve">In classes utilizing active learning strategies, student participation increased by an average of 40%, particularly in science and math subjects.</w:t>
      </w:r>
    </w:p>
    <w:p>
      <w:pPr>
        <w:pStyle w:val="BodyText"/>
      </w:pPr>
      <w:r>
        <w:t xml:space="preserve">Cultural Context</w:t>
      </w:r>
    </w:p>
    <w:p>
      <w:pPr>
        <w:pStyle w:val="BodyText"/>
      </w:pPr>
      <w:r>
        <w:t xml:space="preserve">Alexandria’s cosmopolitan culture allows for greater openness to global ideas, yet traditional hierarchical views of authority can hinder open dialogue in the classroom.</w:t>
      </w:r>
    </w:p>
    <w:p>
      <w:pPr>
        <w:pStyle w:val="BodyText"/>
      </w:pPr>
      <w:r>
        <w:t xml:space="preserve">The data indicates that while infrastructure is improving, the human capital—the</w:t>
      </w:r>
    </w:p>
    <w:p>
      <w:pPr>
        <w:pStyle w:val="BodyText"/>
      </w:pPr>
      <w:r>
        <w:t xml:space="preserve">Teacher</w:t>
      </w:r>
    </w:p>
    <w:bookmarkStart w:id="34" w:name="Xc12902b0059dbb171d742fbd86fbce6bf0bad20"/>
    <w:p>
      <w:pPr>
        <w:pStyle w:val="Heading2"/>
      </w:pPr>
      <w:bookmarkStart w:id="30" w:name="discussion"/>
      <w:bookmarkEnd w:id="30"/>
      <w:r>
        <w:t xml:space="preserve">Discussion: Implications for Policy and Practice</w:t>
      </w:r>
    </w:p>
    <w:p>
      <w:pPr>
        <w:pStyle w:val="FirstParagraph"/>
      </w:pPr>
      <w:r>
        <w:t xml:space="preserve">The findings underscore the critical need for a localized approach to teacher training in</w:t>
      </w:r>
      <w:r>
        <w:t xml:space="preserve"> </w:t>
      </w:r>
      <w:r>
        <w:rPr>
          <w:bCs/>
          <w:b/>
        </w:rPr>
        <w:t xml:space="preserve">Egypt Alexandria</w:t>
      </w:r>
      <w:r>
        <w:t xml:space="preserve">. A "one-size-fits-all" national training program is insufficient. Instead, regional hubs of excellence should be established within Alexandria to provide continuous, peer-supported professional development.</w:t>
      </w:r>
    </w:p>
    <w:bookmarkStart w:id="31" w:name="shift-from-training-to-coaching"/>
    <w:p>
      <w:pPr>
        <w:pStyle w:val="Heading3"/>
      </w:pPr>
      <w:r>
        <w:t xml:space="preserve">1. Shift from Training to Coaching</w:t>
      </w:r>
    </w:p>
    <w:p>
      <w:pPr>
        <w:pStyle w:val="FirstParagraph"/>
      </w:pPr>
      <w:r>
        <w:t xml:space="preserve">Short-term workshops are less effective than long-term coaching models. In-service mentors should visit classrooms regularly to provide feedback on active learning techniques. This is particularly important for experienced teachers who may be resistant to change but possess deep content knowledge.</w:t>
      </w:r>
    </w:p>
    <w:bookmarkEnd w:id="31"/>
    <w:bookmarkStart w:id="32" w:name="X249530752887bc9e348b21a66fbbac4d30d64e2"/>
    <w:p>
      <w:pPr>
        <w:pStyle w:val="Heading3"/>
      </w:pPr>
      <w:r>
        <w:t xml:space="preserve">2. Leveraging Alexandria’s Intellectual Heritage</w:t>
      </w:r>
    </w:p>
    <w:p>
      <w:pPr>
        <w:pStyle w:val="FirstParagraph"/>
      </w:pPr>
      <w:r>
        <w:t xml:space="preserve">Alexandria has a rich tradition of inquiry and debate. Educational programs should tap into this cultural asset by promoting Socratic seminars and critical thinking exercises that align with local values of intellectual rigor. This makes the new curriculum feel less foreign and more compatible with local educational aspirations.</w:t>
      </w:r>
    </w:p>
    <w:bookmarkEnd w:id="32"/>
    <w:bookmarkStart w:id="33" w:name="X93fcd904dc2a690ebd7463ee81ef71a9ebb0095"/>
    <w:p>
      <w:pPr>
        <w:pStyle w:val="Heading3"/>
      </w:pPr>
      <w:r>
        <w:t xml:space="preserve">3. Technology as an Enabler, Not a Replacement</w:t>
      </w:r>
    </w:p>
    <w:p>
      <w:pPr>
        <w:pStyle w:val="FirstParagraph"/>
      </w:pPr>
      <w:r>
        <w:t xml:space="preserve">Digital tools should be introduced gradually, focusing on their ability to facilitate collaboration rather than just content delivery. Training must emphasize how technology can help manage large class sizes through peer-learning networks and digital assignment tracking.</w:t>
      </w:r>
    </w:p>
    <w:bookmarkEnd w:id="33"/>
    <w:bookmarkEnd w:id="34"/>
    <w:bookmarkStart w:id="36" w:name="conclusion"/>
    <w:p>
      <w:pPr>
        <w:pStyle w:val="Heading2"/>
      </w:pPr>
      <w:bookmarkStart w:id="35" w:name="conclusion"/>
      <w:bookmarkEnd w:id="35"/>
      <w:r>
        <w:t xml:space="preserve">Conclusion</w:t>
      </w:r>
    </w:p>
    <w:p>
      <w:pPr>
        <w:pStyle w:val="FirstParagraph"/>
      </w:pPr>
      <w:r>
        <w:t xml:space="preserve">The transformation of secondary education in Alexandria is not merely a structural adjustment but a cultural and pedagogical revolution. The success of these reforms hinges entirely on the empowerment of the Secondary Teacher. By addressing the specific challenges faced by educators in this vibrant Egyptian city, we can create a learning environment that fosters innovation, critical thinking, and global competitiveness.</w:t>
      </w:r>
    </w:p>
    <w:p>
      <w:pPr>
        <w:pStyle w:val="BodyText"/>
      </w:pPr>
      <w:r>
        <w:t xml:space="preserve">Recommendations include:</w:t>
      </w:r>
    </w:p>
    <w:p>
      <w:pPr>
        <w:numPr>
          <w:ilvl w:val="0"/>
          <w:numId w:val="1003"/>
        </w:numPr>
        <w:pStyle w:val="Compact"/>
      </w:pPr>
      <w:r>
        <w:t xml:space="preserve">Institutionalizing continuous professional development cycles.</w:t>
      </w:r>
    </w:p>
    <w:p>
      <w:pPr>
        <w:numPr>
          <w:ilvl w:val="0"/>
          <w:numId w:val="1003"/>
        </w:numPr>
        <w:pStyle w:val="Compact"/>
      </w:pPr>
      <w:r>
        <w:t xml:space="preserve">Fostering communities of practice among Alexandria teachers to share best practices.</w:t>
      </w:r>
    </w:p>
    <w:p>
      <w:pPr>
        <w:numPr>
          <w:ilvl w:val="0"/>
          <w:numId w:val="1003"/>
        </w:numPr>
        <w:pStyle w:val="Compact"/>
      </w:pPr>
      <w:r>
        <w:t xml:space="preserve">Policymakers to ensure that resource allocation matches the demands of the new curriculum.</w:t>
      </w:r>
    </w:p>
    <w:bookmarkEnd w:id="36"/>
    <w:bookmarkStart w:id="38" w:name="references"/>
    <w:p>
      <w:pPr>
        <w:pStyle w:val="Heading2"/>
      </w:pPr>
      <w:bookmarkStart w:id="37" w:name="references"/>
      <w:bookmarkEnd w:id="37"/>
      <w:r>
        <w:t xml:space="preserve">References</w:t>
      </w:r>
    </w:p>
    <w:p>
      <w:pPr>
        <w:numPr>
          <w:ilvl w:val="0"/>
          <w:numId w:val="1004"/>
        </w:numPr>
        <w:pStyle w:val="Compact"/>
      </w:pPr>
      <w:r>
        <w:t xml:space="preserve">Egypt Ministry of Education and Technical Education. (2018). *The New Secondary School System Strategy*. Cairo.</w:t>
      </w:r>
    </w:p>
    <w:p>
      <w:pPr>
        <w:numPr>
          <w:ilvl w:val="0"/>
          <w:numId w:val="1004"/>
        </w:numPr>
        <w:pStyle w:val="Compact"/>
      </w:pPr>
      <w:r>
        <w:t xml:space="preserve">Alexandria Governorate Educational Office. (2021). *Annual Report on Infrastructure Development in Alexandria Schools*.</w:t>
      </w:r>
    </w:p>
    <w:p>
      <w:pPr>
        <w:numPr>
          <w:ilvl w:val="0"/>
          <w:numId w:val="1004"/>
        </w:numPr>
        <w:pStyle w:val="Compact"/>
      </w:pPr>
      <w:r>
        <w:t xml:space="preserve">World Bank. (2020). *Egypt Economic Monitor: Human Capital in a Changing World*. Washington, DC.</w:t>
      </w:r>
    </w:p>
    <w:p>
      <w:pPr>
        <w:numPr>
          <w:ilvl w:val="0"/>
          <w:numId w:val="1004"/>
        </w:numPr>
        <w:pStyle w:val="Compact"/>
      </w:pPr>
      <w:r>
        <w:t xml:space="preserve">Hassan, A., &amp; Smith, J. (2019). "Pedagogical Shifts in Arab Contexts: The Case of Alexandria." *Journal of Middle East Education*, 12(3), 45-60.</w:t>
      </w:r>
    </w:p>
    <w:p>
      <w:pPr>
        <w:numPr>
          <w:ilvl w:val="0"/>
          <w:numId w:val="1004"/>
        </w:numPr>
        <w:pStyle w:val="Compact"/>
      </w:pPr>
      <w:r>
        <w:t xml:space="preserve">Alexandria University Faculty of Education. (2022). *Student Engagement Metrics in Urban Secondary Classrooms*. Internal Research Paper.</w:t>
      </w:r>
    </w:p>
    <w:bookmarkEnd w:id="38"/>
    <w:p>
      <w:pPr>
        <w:pStyle w:val="FirstParagraph"/>
      </w:pPr>
      <w:r>
        <w:t xml:space="preserve">© 2023 Academic Poster Presentation Project. All Rights Reserved. Designed for Educational Dissemination in Egypt.</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Reform in Alexandria, Egypt</dc:title>
  <dc:creator/>
  <dc:language>en</dc:language>
  <cp:keywords/>
  <dcterms:created xsi:type="dcterms:W3CDTF">2026-07-29T14:31:23Z</dcterms:created>
  <dcterms:modified xsi:type="dcterms:W3CDTF">2026-07-29T14:31:23Z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