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Berlin,</w:t>
      </w:r>
      <w:r>
        <w:t xml:space="preserve"> </w:t>
      </w:r>
      <w:r>
        <w:t xml:space="preserve">Germany</w:t>
      </w:r>
    </w:p>
    <w:p>
      <w:pPr>
        <w:pStyle w:val="FirstParagraph"/>
      </w:pPr>
      <w:r>
        <w:t xml:space="preserve">```html</w:t>
      </w:r>
    </w:p>
    <w:bookmarkStart w:id="26" w:name="X4d974aa60c73d345707fa69cd00fd8681b7d1db"/>
    <w:p>
      <w:pPr>
        <w:pStyle w:val="Heading1"/>
      </w:pPr>
      <w:r>
        <w:t xml:space="preserve">Promoting Educational Excellence in Berlin's Diverse Secondary Schools</w:t>
      </w:r>
    </w:p>
    <w:p>
      <w:pPr>
        <w:pStyle w:val="FirstParagraph"/>
      </w:pPr>
      <w:r>
        <w:br/>
      </w:r>
    </w:p>
    <w:p>
      <w:pPr>
        <w:pStyle w:val="BodyText"/>
      </w:pPr>
      <w:r>
        <w:t xml:space="preserve">A Comprehensive Guide to Teacher Secondary Education in the Berlin Context</w:t>
      </w:r>
    </w:p>
    <w:p>
      <w:pPr>
        <w:pStyle w:val="BodyText"/>
      </w:pPr>
      <w:r>
        <w:br/>
      </w:r>
    </w:p>
    <w:p>
      <w:pPr>
        <w:pStyle w:val="BodyText"/>
      </w:pPr>
      <w:r>
        <w:t xml:space="preserve">Berlin, as the capital and largest city of Germany, represents one of Europe's most dynamic educational landscapes. The city is home to a complex network of secondary schools (</w:t>
      </w:r>
      <w:r>
        <w:rPr>
          <w:iCs/>
          <w:i/>
        </w:rPr>
        <w:t xml:space="preserve">Gymnasien</w:t>
      </w:r>
      <w:r>
        <w:t xml:space="preserve">,</w:t>
      </w:r>
      <w:r>
        <w:t xml:space="preserve"> </w:t>
      </w:r>
      <w:r>
        <w:rPr>
          <w:iCs/>
          <w:i/>
        </w:rPr>
        <w:t xml:space="preserve">Gesamtschulen</w:t>
      </w:r>
      <w:r>
        <w:t xml:space="preserve">, and</w:t>
      </w:r>
      <w:r>
        <w:t xml:space="preserve"> </w:t>
      </w:r>
      <w:r>
        <w:rPr>
          <w:iCs/>
          <w:i/>
        </w:rPr>
        <w:t xml:space="preserve">Hauptschulen/Mittelschulen</w:t>
      </w:r>
      <w:r>
        <w:t xml:space="preserve">) that cater to a highly diverse student population. As an international hub, Berlin attracts teachers from all over the world, necessitating a robust understanding of the local secondary education framework. This poster presentation explores the critical aspects required for Teacher Secondary educators aiming to thrive in Berlin's unique academic environment.</w:t>
      </w:r>
    </w:p>
    <w:bookmarkStart w:id="20" w:name="X93c9eaa529c1859908e3cbfaab8f101232fd4a0"/>
    <w:p>
      <w:pPr>
        <w:pStyle w:val="Heading2"/>
      </w:pPr>
      <w:r>
        <w:t xml:space="preserve">The Dual Language Requirement and Cultural Integration</w:t>
      </w:r>
    </w:p>
    <w:p>
      <w:pPr>
        <w:pStyle w:val="FirstParagraph"/>
      </w:pPr>
      <w:r>
        <w:br/>
      </w:r>
    </w:p>
    <w:p>
      <w:pPr>
        <w:pStyle w:val="BodyText"/>
      </w:pPr>
      <w:r>
        <w:t xml:space="preserve">One of the most significant hurdles for</w:t>
      </w:r>
      <w:r>
        <w:t xml:space="preserve"> </w:t>
      </w:r>
      <w:r>
        <w:rPr>
          <w:bCs/>
          <w:b/>
        </w:rPr>
        <w:t xml:space="preserve">Teacher Secondary</w:t>
      </w:r>
      <w:r>
        <w:t xml:space="preserve"> </w:t>
      </w:r>
      <w:r>
        <w:t xml:space="preserve">professionals in Germany is language proficiency. While international schools offer English-taught curricula, public secondary schools operate almost exclusively in German. Consequently, achieving at least a C1 level of fluency in German is not merely an advantage but a fundamental prerequisite for licensure and effective classroom management.</w:t>
      </w:r>
    </w:p>
    <w:p>
      <w:pPr>
        <w:numPr>
          <w:ilvl w:val="0"/>
          <w:numId w:val="1001"/>
        </w:numPr>
        <w:pStyle w:val="Compact"/>
      </w:pPr>
      <w:r>
        <w:rPr>
          <w:bCs/>
          <w:b/>
        </w:rPr>
        <w:t xml:space="preserve">Linguistic Competence:</w:t>
      </w:r>
      <w:r>
        <w:t xml:space="preserve"> </w:t>
      </w:r>
      <w:r>
        <w:t xml:space="preserve">Teachers must navigate complex pedagogical terminology in both spoken and written forms to communicate effectively with students, parents, and the Senatsverwaltung für Bildung, Jugend und Familie (Senate Department for Education).</w:t>
      </w:r>
    </w:p>
    <w:p>
      <w:pPr>
        <w:numPr>
          <w:ilvl w:val="0"/>
          <w:numId w:val="1001"/>
        </w:numPr>
        <w:pStyle w:val="Compact"/>
      </w:pPr>
      <w:r>
        <w:rPr>
          <w:bCs/>
          <w:b/>
        </w:rPr>
        <w:t xml:space="preserve">Cultural Nuance:</w:t>
      </w:r>
      <w:r>
        <w:t xml:space="preserve"> </w:t>
      </w:r>
      <w:r>
        <w:t xml:space="preserve">Understanding German academic culture—characterized by formality, punctuality, and a structured approach to discipline—is vital. Teachers must adapt their pedagogical styles to fit the expectations of Berlin's public school system.</w:t>
      </w:r>
    </w:p>
    <w:bookmarkEnd w:id="20"/>
    <w:bookmarkStart w:id="21" w:name="berlins-unique-educational-framework"/>
    <w:p>
      <w:pPr>
        <w:pStyle w:val="Heading2"/>
      </w:pPr>
      <w:r>
        <w:t xml:space="preserve">Berlin’s Unique Educational Framework</w:t>
      </w:r>
    </w:p>
    <w:p>
      <w:pPr>
        <w:pStyle w:val="FirstParagraph"/>
      </w:pPr>
      <w:r>
        <w:br/>
      </w:r>
    </w:p>
    <w:p>
      <w:pPr>
        <w:pStyle w:val="BodyText"/>
      </w:pPr>
      <w:r>
        <w:t xml:space="preserve">The</w:t>
      </w:r>
      <w:r>
        <w:t xml:space="preserve"> </w:t>
      </w:r>
      <w:r>
        <w:rPr>
          <w:bCs/>
          <w:b/>
        </w:rPr>
        <w:t xml:space="preserve">Germany Berlin</w:t>
      </w:r>
      <w:r>
        <w:t xml:space="preserve"> </w:t>
      </w:r>
      <w:r>
        <w:t xml:space="preserve">education system operates under the jurisdiction of the local Senate, differing from other German states. A key feature in Berlin is the ongoing shift towards comprehensive schooling. Many traditional tracks are merging into integrated systems that emphasize inclusion (</w:t>
      </w:r>
      <w:r>
        <w:rPr>
          <w:iCs/>
          <w:i/>
        </w:rPr>
        <w:t xml:space="preserve">Inklusion</w:t>
      </w:r>
      <w:r>
        <w:t xml:space="preserve">). Teacher Secondary educators must be well-versed in inclusive education strategies, as they will likely encounter classrooms with students having diverse learning needs and backgrounds.</w:t>
      </w:r>
    </w:p>
    <w:p>
      <w:pPr>
        <w:numPr>
          <w:ilvl w:val="0"/>
          <w:numId w:val="1002"/>
        </w:numPr>
        <w:pStyle w:val="Compact"/>
      </w:pPr>
      <w:r>
        <w:rPr>
          <w:bCs/>
          <w:b/>
        </w:rPr>
        <w:t xml:space="preserve">Inclusive Education:</w:t>
      </w:r>
      <w:r>
        <w:t xml:space="preserve"> </w:t>
      </w:r>
      <w:r>
        <w:t xml:space="preserve">Berlin places a strong emphasis on integrating students with special educational needs into mainstream secondary classrooms. This requires specialized training in differentiation and individualized learning plans.</w:t>
      </w:r>
    </w:p>
    <w:p>
      <w:pPr>
        <w:numPr>
          <w:ilvl w:val="0"/>
          <w:numId w:val="1002"/>
        </w:numPr>
        <w:pStyle w:val="Compact"/>
      </w:pPr>
      <w:r>
        <w:rPr>
          <w:bCs/>
          <w:b/>
        </w:rPr>
        <w:t xml:space="preserve">Digitalization Initiatives:</w:t>
      </w:r>
      <w:r>
        <w:t xml:space="preserve"> </w:t>
      </w:r>
      <w:r>
        <w:t xml:space="preserve">Berlin has been aggressively pushing digital infrastructure in schools. Teachers are expected to be proficient in digital teaching tools, from interactive whiteboards to online collaboration platforms, ensuring they can lead the charge in technological integration within secondary education.</w:t>
      </w:r>
    </w:p>
    <w:bookmarkEnd w:id="21"/>
    <w:bookmarkStart w:id="22" w:name="licensure-and-professional-recognition"/>
    <w:p>
      <w:pPr>
        <w:pStyle w:val="Heading2"/>
      </w:pPr>
      <w:r>
        <w:t xml:space="preserve">Licensure and Professional Recognition</w:t>
      </w:r>
    </w:p>
    <w:p>
      <w:pPr>
        <w:pStyle w:val="FirstParagraph"/>
      </w:pPr>
      <w:r>
        <w:br/>
      </w:r>
    </w:p>
    <w:p>
      <w:pPr>
        <w:pStyle w:val="BodyText"/>
      </w:pPr>
      <w:r>
        <w:t xml:space="preserve">For international educators seeking positions in Berlin, the recognition of foreign qualifications is a critical step. The process involves having one's</w:t>
      </w:r>
      <w:r>
        <w:t xml:space="preserve"> </w:t>
      </w:r>
      <w:r>
        <w:rPr>
          <w:bCs/>
          <w:b/>
        </w:rPr>
        <w:t xml:space="preserve">Teacher Secondary</w:t>
      </w:r>
      <w:r>
        <w:t xml:space="preserve"> </w:t>
      </w:r>
      <w:r>
        <w:t xml:space="preserve">credentials evaluated by the relevant authorities to ensure they meet German standards. This often entails supplementary exams or periods of supervised teaching practice (</w:t>
      </w:r>
      <w:r>
        <w:rPr>
          <w:iCs/>
          <w:i/>
        </w:rPr>
        <w:t xml:space="preserve">Fachpraktikum</w:t>
      </w:r>
      <w:r>
        <w:t xml:space="preserve">) tailored specifically to the</w:t>
      </w:r>
      <w:r>
        <w:t xml:space="preserve"> </w:t>
      </w:r>
      <w:r>
        <w:rPr>
          <w:bCs/>
          <w:b/>
        </w:rPr>
        <w:t xml:space="preserve">Germany Berlin</w:t>
      </w:r>
      <w:r>
        <w:t xml:space="preserve"> </w:t>
      </w:r>
      <w:r>
        <w:t xml:space="preserve">context.</w:t>
      </w:r>
    </w:p>
    <w:p>
      <w:pPr>
        <w:pStyle w:val="BodyText"/>
      </w:pPr>
      <w:r>
        <w:br/>
      </w:r>
    </w:p>
    <w:p>
      <w:pPr>
        <w:pStyle w:val="BodyText"/>
      </w:pPr>
      <w:r>
        <w:t xml:space="preserve">The path to becoming a state-certified teacher involves completing a university degree followed by a two-year preparatory service (</w:t>
      </w:r>
      <w:r>
        <w:rPr>
          <w:iCs/>
          <w:i/>
        </w:rPr>
        <w:t xml:space="preserve">Referendariat</w:t>
      </w:r>
      <w:r>
        <w:t xml:space="preserve">). During this phase, teachers are mentored in both academic and practical aspects of secondary education. For those already qualified abroad, equivalency assessments determine the necessary steps for full certification.</w:t>
      </w:r>
    </w:p>
    <w:p>
      <w:pPr>
        <w:pStyle w:val="BodyText"/>
      </w:pPr>
      <w:r>
        <w:br/>
      </w:r>
    </w:p>
    <w:bookmarkEnd w:id="22"/>
    <w:bookmarkStart w:id="23" w:name="X1d14b6d43b52aafb070015390484f28dc173890"/>
    <w:p>
      <w:pPr>
        <w:pStyle w:val="Heading2"/>
      </w:pPr>
      <w:r>
        <w:t xml:space="preserve">Cultivating Global Competence in Students</w:t>
      </w:r>
    </w:p>
    <w:p>
      <w:pPr>
        <w:pStyle w:val="FirstParagraph"/>
      </w:pPr>
      <w:r>
        <w:br/>
      </w:r>
    </w:p>
    <w:p>
      <w:pPr>
        <w:pStyle w:val="BodyText"/>
      </w:pPr>
      <w:r>
        <w:t xml:space="preserve">Berlin's schools are melting pots of cultures. Teacher Secondary educators play a pivotal role in fostering global competence among their students. This involves not just teaching the core subjects—such as Mathematics, Sciences, Languages, and Humanities—but also promoting intercultural dialogue and critical thinking.</w:t>
      </w:r>
    </w:p>
    <w:p>
      <w:pPr>
        <w:numPr>
          <w:ilvl w:val="0"/>
          <w:numId w:val="1003"/>
        </w:numPr>
        <w:pStyle w:val="Compact"/>
      </w:pPr>
      <w:r>
        <w:rPr>
          <w:bCs/>
          <w:b/>
        </w:rPr>
        <w:t xml:space="preserve">Multilingualism:</w:t>
      </w:r>
      <w:r>
        <w:t xml:space="preserve"> </w:t>
      </w:r>
      <w:r>
        <w:t xml:space="preserve">Encouraging students to value their native languages while mastering German enhances cognitive flexibility. Teachers can leverage the multilingual environment of Berlin classrooms to enrich language learning experiences.</w:t>
      </w:r>
    </w:p>
    <w:p>
      <w:pPr>
        <w:numPr>
          <w:ilvl w:val="0"/>
          <w:numId w:val="1003"/>
        </w:numPr>
        <w:pStyle w:val="Compact"/>
      </w:pPr>
      <w:r>
        <w:rPr>
          <w:bCs/>
          <w:b/>
        </w:rPr>
        <w:t xml:space="preserve">Citizenship and Values:</w:t>
      </w:r>
      <w:r>
        <w:t xml:space="preserve"> </w:t>
      </w:r>
      <w:r>
        <w:t xml:space="preserve">Secondary education in Germany includes a strong focus on civic education. Educators must guide students in understanding democratic values, historical responsibility, and social justice—issues particularly relevant given Berlin's complex history.</w:t>
      </w:r>
    </w:p>
    <w:p>
      <w:pPr>
        <w:pStyle w:val="FirstParagraph"/>
      </w:pPr>
      <w:r>
        <w:br/>
      </w:r>
    </w:p>
    <w:bookmarkEnd w:id="23"/>
    <w:bookmarkStart w:id="24" w:name="challenges-and-opportunities"/>
    <w:p>
      <w:pPr>
        <w:pStyle w:val="Heading2"/>
      </w:pPr>
      <w:r>
        <w:t xml:space="preserve">Challenges and Opportunities</w:t>
      </w:r>
    </w:p>
    <w:p>
      <w:pPr>
        <w:pStyle w:val="FirstParagraph"/>
      </w:pPr>
      <w:r>
        <w:br/>
      </w:r>
    </w:p>
    <w:p>
      <w:pPr>
        <w:pStyle w:val="BodyText"/>
      </w:pPr>
      <w:r>
        <w:t xml:space="preserve">The profession of</w:t>
      </w:r>
      <w:r>
        <w:t xml:space="preserve"> </w:t>
      </w:r>
      <w:r>
        <w:rPr>
          <w:bCs/>
          <w:b/>
        </w:rPr>
        <w:t xml:space="preserve">Teacher Secondary</w:t>
      </w:r>
      <w:r>
        <w:t xml:space="preserve"> </w:t>
      </w:r>
      <w:r>
        <w:t xml:space="preserve">in</w:t>
      </w:r>
      <w:r>
        <w:t xml:space="preserve"> </w:t>
      </w:r>
      <w:r>
        <w:rPr>
          <w:bCs/>
          <w:b/>
        </w:rPr>
        <w:t xml:space="preserve">Germany Berlin</w:t>
      </w:r>
      <w:r>
        <w:t xml:space="preserve">'s current climate comes with distinct challenges, including large class sizes and bureaucratic administrative burdens. However, these are offset by significant opportunities for professional growth. The city offers extensive networking opportunities through institutions like the Humboldt-Universität zu Berlin and the Freie Universität Berlin, as well as local educational hubs.</w:t>
      </w:r>
    </w:p>
    <w:p>
      <w:pPr>
        <w:pStyle w:val="BodyText"/>
      </w:pPr>
      <w:r>
        <w:t xml:space="preserve">Furthermore, the demand for qualified teachers is high, particularly in STEM subjects and foreign languages. This demand provides job security and avenues for career advancement into administrative or curriculum development roles within the city’s extensive school network.</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Becoming a successful</w:t>
      </w:r>
      <w:r>
        <w:t xml:space="preserve"> </w:t>
      </w:r>
      <w:r>
        <w:rPr>
          <w:bCs/>
          <w:b/>
        </w:rPr>
        <w:t xml:space="preserve">Teacher Secondary</w:t>
      </w:r>
      <w:r>
        <w:t xml:space="preserve"> </w:t>
      </w:r>
      <w:r>
        <w:t xml:space="preserve">in</w:t>
      </w:r>
      <w:r>
        <w:t xml:space="preserve"> </w:t>
      </w:r>
      <w:r>
        <w:rPr>
          <w:bCs/>
          <w:b/>
        </w:rPr>
        <w:t xml:space="preserve">Germany Berlin</w:t>
      </w:r>
      <w:r>
        <w:t xml:space="preserve">'s vibrant educational sector requires more than just academic knowledge; it demands cultural adaptability, linguistic proficiency, and a commitment to inclusive practices. By embracing the unique challenges of Berlin's school system, educators can make substantial contributions to shaping the next generation of global citizens. The integration of digital tools, respect for diverse cultural backgrounds, and adherence to rigorous educational standards are the pillars upon which effective secondary teaching in Berlin rests.</w:t>
      </w:r>
    </w:p>
    <w:p>
      <w:pPr>
        <w:pStyle w:val="BodyText"/>
      </w:pPr>
      <w:r>
        <w:t xml:space="preserve">Prospective teachers are encouraged to engage with local teacher training programs early on, seek language immersion opportunities, and familiarize themselves with the specific pedagogical expectations of Berlin's Senate Department. With dedication and preparation, educators can find profound professional satisfaction while contributing to the dynamic educational ecosystem of Germany's capital.</w:t>
      </w:r>
    </w:p>
    <w:p>
      <w:pPr>
        <w:pStyle w:val="BodyText"/>
      </w:pPr>
      <w:r>
        <w:br/>
      </w:r>
    </w:p>
    <w:p>
      <w:pPr>
        <w:pStyle w:val="BodyText"/>
      </w:pPr>
      <w:r>
        <w:rPr>
          <w:bCs/>
          <w:b/>
        </w:rPr>
        <w:t xml:space="preserve">Thank You for Your Attention.</w:t>
      </w:r>
    </w:p>
    <w:p>
      <w:pPr>
        <w:pStyle w:val="BodyText"/>
      </w:pPr>
      <w:r>
        <w:t xml:space="preserve">For further inquiries, please contact local educational authorities or accredited training institutions in Berlin.</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Teacher Secondary Education in Berlin, Germany</dc:title>
  <dc:creator/>
  <dc:language>en</dc:language>
  <cp:keywords/>
  <dcterms:created xsi:type="dcterms:W3CDTF">2026-07-29T03:51:13Z</dcterms:created>
  <dcterms:modified xsi:type="dcterms:W3CDTF">2026-07-29T03:51:13Z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