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5e1b3eda989b53bd20ff86ccef39a6a3062a56"/>
    <w:p>
      <w:pPr>
        <w:pStyle w:val="Heading1"/>
      </w:pPr>
      <w:r>
        <w:t xml:space="preserve">Bridging Theory and Practice: Challenges and Strategies for Secondary Teachers in Frankfurt, Germany</w:t>
      </w:r>
    </w:p>
    <w:p>
      <w:pPr>
        <w:pStyle w:val="FirstParagraph"/>
      </w:pPr>
      <w:r>
        <w:t xml:space="preserve">Poster Presentation Academic Document | Focus on Regional Educational Dynamics in Germany/Frankfurt</w:t>
      </w:r>
    </w:p>
    <w:bookmarkEnd w:id="20"/>
    <w:bookmarkStart w:id="21" w:name="abstract"/>
    <w:p>
      <w:pPr>
        <w:pStyle w:val="Heading3"/>
      </w:pPr>
      <w:r>
        <w:t xml:space="preserve">Abstract</w:t>
      </w:r>
    </w:p>
    <w:p>
      <w:pPr>
        <w:pStyle w:val="FirstParagraph"/>
      </w:pPr>
      <w:r>
        <w:t xml:space="preserve">This academic poster presentation explores the multifaceted role of secondary teachers within the unique educational landscape of Frankfurt, Germany. As a global financial hub with a highly diverse population, Frankfurt presents distinct pedagogical challenges and opportunities. This document outlines current trends in teacher training, classroom management strategies for multicultural cohorts, and the integration of digital tools in secondary education. The primary objective is to provide actionable insights for educators aiming to excel in this dynamic environment.</w:t>
      </w:r>
    </w:p>
    <w:bookmarkEnd w:id="21"/>
    <w:bookmarkStart w:id="22" w:name="introduction"/>
    <w:p>
      <w:pPr>
        <w:pStyle w:val="Heading3"/>
      </w:pPr>
      <w:r>
        <w:t xml:space="preserve">1. Introduction</w:t>
      </w:r>
    </w:p>
    <w:p>
      <w:pPr>
        <w:pStyle w:val="FirstParagraph"/>
      </w:pPr>
      <w:r>
        <w:t xml:space="preserve">The role of the secondary teacher extends beyond content delivery; it encompasses mentorship, cultural mediation, and academic guidance. In Frankfurt, a city characterized by its international flair and socio-economic diversity, teachers must navigate complex social dynamics while maintaining high academic standards. This section highlights the specific context of Germany's federal education system (Bildungssouveränität), where states like Hesse (Hessen) have distinct curricular mandates.</w:t>
      </w:r>
    </w:p>
    <w:bookmarkEnd w:id="22"/>
    <w:bookmarkStart w:id="23" w:name="X82dbd0ae73123146a2ab08a66184827ebc466b5"/>
    <w:p>
      <w:pPr>
        <w:pStyle w:val="Heading3"/>
      </w:pPr>
      <w:r>
        <w:t xml:space="preserve">2. Contextual Analysis: Frankfurt’s Diverse Classroom</w:t>
      </w:r>
    </w:p>
    <w:p>
      <w:pPr>
        <w:pStyle w:val="FirstParagraph"/>
      </w:pPr>
      <w:r>
        <w:t xml:space="preserve">Frankfurt am Main is one of the most cosmopolitan cities in Germany. Secondary classrooms frequently host students from various linguistic and cultural backgrounds, including significant populations with migration histories from Turkey, Syria, Poland, and other regions.</w:t>
      </w:r>
    </w:p>
    <w:p>
      <w:pPr>
        <w:numPr>
          <w:ilvl w:val="0"/>
          <w:numId w:val="1001"/>
        </w:numPr>
        <w:pStyle w:val="Compact"/>
      </w:pPr>
      <w:r>
        <w:rPr>
          <w:bCs/>
          <w:b/>
        </w:rPr>
        <w:t xml:space="preserve">Linguistic Diversity:</w:t>
      </w:r>
      <w:r>
        <w:t xml:space="preserve"> </w:t>
      </w:r>
      <w:r>
        <w:t xml:space="preserve">Teachers must employ inclusive pedagogies to support non-native German speakers.</w:t>
      </w:r>
    </w:p>
    <w:p>
      <w:pPr>
        <w:numPr>
          <w:ilvl w:val="0"/>
          <w:numId w:val="1001"/>
        </w:numPr>
        <w:pStyle w:val="Compact"/>
      </w:pPr>
      <w:r>
        <w:rPr>
          <w:bCs/>
          <w:b/>
        </w:rPr>
        <w:t xml:space="preserve">Socio-Economic Factors:</w:t>
      </w:r>
      <w:r>
        <w:t xml:space="preserve"> </w:t>
      </w:r>
      <w:r>
        <w:t xml:space="preserve">The city’s wealth gap influences student access to resources, requiring teachers to be advocates for equity.</w:t>
      </w:r>
    </w:p>
    <w:bookmarkEnd w:id="23"/>
    <w:bookmarkStart w:id="24" w:name="core-competencies-for-modern-teachers"/>
    <w:p>
      <w:pPr>
        <w:pStyle w:val="Heading3"/>
      </w:pPr>
      <w:r>
        <w:t xml:space="preserve">3. Core Competencies for Modern Teachers</w:t>
      </w:r>
    </w:p>
    <w:p>
      <w:pPr>
        <w:pStyle w:val="FirstParagraph"/>
      </w:pPr>
      <w:r>
        <w:t xml:space="preserve">To effectively serve students in Frankfurt, secondary educators must develop a robust set of professional competencies:</w:t>
      </w:r>
    </w:p>
    <w:p>
      <w:pPr>
        <w:numPr>
          <w:ilvl w:val="0"/>
          <w:numId w:val="1002"/>
        </w:numPr>
        <w:pStyle w:val="Compact"/>
      </w:pPr>
      <w:r>
        <w:rPr>
          <w:bCs/>
          <w:b/>
        </w:rPr>
        <w:t xml:space="preserve">Pedagogical Content Knowledge (PCK):</w:t>
      </w:r>
      <w:r>
        <w:t xml:space="preserve"> </w:t>
      </w:r>
      <w:r>
        <w:t xml:space="preserve">Deep understanding of subject matter coupled with methods to make it accessible.</w:t>
      </w:r>
    </w:p>
    <w:p>
      <w:pPr>
        <w:numPr>
          <w:ilvl w:val="0"/>
          <w:numId w:val="1002"/>
        </w:numPr>
        <w:pStyle w:val="Compact"/>
      </w:pPr>
      <w:r>
        <w:rPr>
          <w:bCs/>
          <w:b/>
        </w:rPr>
        <w:t xml:space="preserve">Cultural Competence:</w:t>
      </w:r>
      <w:r>
        <w:t xml:space="preserve"> </w:t>
      </w:r>
      <w:r>
        <w:t xml:space="preserve">Ability to recognize and respect diverse cultural norms and values.</w:t>
      </w:r>
    </w:p>
    <w:p>
      <w:pPr>
        <w:numPr>
          <w:ilvl w:val="0"/>
          <w:numId w:val="1002"/>
        </w:numPr>
        <w:pStyle w:val="Compact"/>
      </w:pPr>
      <w:r>
        <w:rPr>
          <w:bCs/>
          <w:b/>
        </w:rPr>
        <w:t xml:space="preserve">Digital Literacy:</w:t>
      </w:r>
    </w:p>
    <w:bookmarkEnd w:id="24"/>
    <w:bookmarkStart w:id="25" w:name="current-challenges"/>
    <w:p>
      <w:pPr>
        <w:pStyle w:val="Heading3"/>
      </w:pPr>
      <w:r>
        <w:t xml:space="preserve">4. Current Challenges</w:t>
      </w:r>
    </w:p>
    <w:p>
      <w:pPr>
        <w:pStyle w:val="FirstParagraph"/>
      </w:pPr>
      <w:r>
        <w:rPr>
          <w:bCs/>
          <w:b/>
        </w:rPr>
        <w:t xml:space="preserve">Bureaucracy and Workload:</w:t>
      </w:r>
      <w:r>
        <w:t xml:space="preserve">The German school system is known for its administrative rigor. Teachers in Frankfurt often report high levels of burnout due to extensive documentation requirements alongside teaching loads.</w:t>
      </w:r>
    </w:p>
    <w:p>
      <w:pPr>
        <w:pStyle w:val="BodyText"/>
      </w:pPr>
      <w:r>
        <w:rPr>
          <w:bCs/>
          <w:b/>
        </w:rPr>
        <w:t xml:space="preserve">Mixed-Ability Classes:</w:t>
      </w:r>
      <w:r>
        <w:t xml:space="preserve">In the Gymnasium (academic track) and Gesamtschule (comprehensive school), teachers face the challenge of differentiating instruction for students with varying academic abilities within a single classroom.</w:t>
      </w:r>
    </w:p>
    <w:bookmarkEnd w:id="25"/>
    <w:bookmarkStart w:id="26" w:name="proposed-strategies"/>
    <w:p>
      <w:pPr>
        <w:pStyle w:val="Heading3"/>
      </w:pPr>
      <w:r>
        <w:t xml:space="preserve">5. Proposed Strategies</w:t>
      </w:r>
    </w:p>
    <w:p>
      <w:pPr>
        <w:numPr>
          <w:ilvl w:val="0"/>
          <w:numId w:val="1003"/>
        </w:numPr>
        <w:pStyle w:val="Compact"/>
      </w:pPr>
      <w:r>
        <w:rPr>
          <w:bCs/>
          <w:b/>
        </w:rPr>
        <w:t xml:space="preserve">Collaborative Planning:</w:t>
      </w:r>
    </w:p>
    <w:p>
      <w:pPr>
        <w:numPr>
          <w:ilvl w:val="0"/>
          <w:numId w:val="1003"/>
        </w:numPr>
        <w:pStyle w:val="Compact"/>
      </w:pPr>
      <w:r>
        <w:rPr>
          <w:bCs/>
          <w:b/>
        </w:rPr>
        <w:t xml:space="preserve">Inclusive Language Support:</w:t>
      </w:r>
    </w:p>
    <w:p>
      <w:pPr>
        <w:numPr>
          <w:ilvl w:val="0"/>
          <w:numId w:val="1003"/>
        </w:numPr>
        <w:pStyle w:val="Compact"/>
      </w:pPr>
      <w:r>
        <w:rPr>
          <w:bCs/>
          <w:b/>
        </w:rPr>
        <w:t xml:space="preserve">Mental Health Support:</w:t>
      </w:r>
    </w:p>
    <w:bookmarkEnd w:id="26"/>
    <w:bookmarkStart w:id="27" w:name="digital-integration"/>
    <w:p>
      <w:pPr>
        <w:pStyle w:val="Heading3"/>
      </w:pPr>
      <w:r>
        <w:t xml:space="preserve">6. Digital Integration</w:t>
      </w:r>
    </w:p>
    <w:p>
      <w:pPr>
        <w:pStyle w:val="FirstParagraph"/>
      </w:pPr>
      <w:r>
        <w:t xml:space="preserve">Frankfurt has been a pioneer in digitalizing German schools. The "DigitalPakt Schule" federal initiative provides funding for infrastructure. However, the challenge lies in pedagogical integration rather than hardware acquisition. Teachers are encouraged to move beyond passive consumption of content to active creation using digital tools.</w:t>
      </w:r>
    </w:p>
    <w:bookmarkEnd w:id="27"/>
    <w:bookmarkStart w:id="28" w:name="conclusion-and-future-directions"/>
    <w:p>
      <w:pPr>
        <w:pStyle w:val="Heading3"/>
      </w:pPr>
      <w:r>
        <w:t xml:space="preserve">7. Conclusion and Future Directions</w:t>
      </w:r>
    </w:p>
    <w:p>
      <w:pPr>
        <w:pStyle w:val="FirstParagraph"/>
      </w:pPr>
      <w:r>
        <w:t xml:space="preserve">The future of secondary education in Frankfurt depends on the resilience and adaptability of its teachers. By embracing inclusive practices, leveraging digital technologies, and addressing bureaucratic burdens through systemic reform, educators can create a more equitable learning environment. This poster underscores the need for continuous professional development tailored to the specific needs of Frankfurt's multicultural demographic.</w:t>
      </w:r>
    </w:p>
    <w:bookmarkEnd w:id="28"/>
    <w:bookmarkStart w:id="29" w:name="references-and-key-resources"/>
    <w:p>
      <w:pPr>
        <w:pStyle w:val="Heading3"/>
      </w:pPr>
      <w:r>
        <w:t xml:space="preserve">References and Key Resources</w:t>
      </w:r>
    </w:p>
    <w:p>
      <w:pPr>
        <w:pStyle w:val="FirstParagraph"/>
      </w:pPr>
      <w:r>
        <w:rPr>
          <w:iCs/>
          <w:i/>
        </w:rPr>
        <w:t xml:space="preserve">Note: For a full academic bibliography, please refer to the accompanying digital handout. Below are key institutional references:</w:t>
      </w:r>
    </w:p>
    <w:p>
      <w:pPr>
        <w:numPr>
          <w:ilvl w:val="0"/>
          <w:numId w:val="1004"/>
        </w:numPr>
        <w:pStyle w:val="Compact"/>
      </w:pPr>
      <w:r>
        <w:t xml:space="preserve">Hessisches Kultusministerium (HKM). (2023). *Curriculum Guidelines for Secondary Schools in Hesse.*</w:t>
      </w:r>
    </w:p>
    <w:p>
      <w:pPr>
        <w:numPr>
          <w:ilvl w:val="0"/>
          <w:numId w:val="1004"/>
        </w:numPr>
        <w:pStyle w:val="Compact"/>
      </w:pPr>
      <w:r>
        <w:t xml:space="preserve">Bundesinstitut für Berufsbildung. (2024). *Teacher Training Standards in Germany.*</w:t>
      </w:r>
    </w:p>
    <w:p>
      <w:pPr>
        <w:numPr>
          <w:ilvl w:val="0"/>
          <w:numId w:val="1004"/>
        </w:numPr>
        <w:pStyle w:val="Compact"/>
      </w:pPr>
      <w:r>
        <w:t xml:space="preserve">Institut für Qualitätsentwicklung an Schulen Hessen. (IQ-Hessen). Various Reports on School Quality in Frankfurt.</w:t>
      </w:r>
    </w:p>
    <w:bookmarkEnd w:id="29"/>
    <w:p>
      <w:pPr>
        <w:pStyle w:val="FirstParagraph"/>
      </w:pPr>
      <w:r>
        <w:t xml:space="preserve">© 2024 Academic Poster Presentation Series | Germany/Frankfurt Educational Research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2026-07-30T06:43:45Z</dcterms:created>
  <dcterms:modified xsi:type="dcterms:W3CDTF">2026-07-30T06:43:45Z</dcterms:modified>
</cp:coreProperties>
</file>

<file path=docProps/custom.xml><?xml version="1.0" encoding="utf-8"?>
<Properties xmlns="http://schemas.openxmlformats.org/officeDocument/2006/custom-properties" xmlns:vt="http://schemas.openxmlformats.org/officeDocument/2006/docPropsVTypes"/>
</file>