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Secondary</w:t>
      </w:r>
      <w:r>
        <w:t xml:space="preserve"> </w:t>
      </w:r>
      <w:r>
        <w:t xml:space="preserve">Education</w:t>
      </w:r>
      <w:r>
        <w:t xml:space="preserve"> </w:t>
      </w:r>
      <w:r>
        <w:t xml:space="preserve">in</w:t>
      </w:r>
      <w:r>
        <w:t xml:space="preserve"> </w:t>
      </w:r>
      <w:r>
        <w:t xml:space="preserve">Germany</w:t>
      </w:r>
      <w:r>
        <w:t xml:space="preserve"> </w:t>
      </w:r>
      <w:r>
        <w:t xml:space="preserve">Munich</w:t>
      </w:r>
    </w:p>
    <w:bookmarkStart w:id="20" w:name="X8751205218290d7b323f77e07f468374e208854"/>
    <w:p>
      <w:pPr>
        <w:pStyle w:val="Heading1"/>
      </w:pPr>
      <w:r>
        <w:t xml:space="preserve">Optimizing Teacher Secondary Competencies in the Urban Context of Germany Munich</w:t>
      </w:r>
    </w:p>
    <w:p>
      <w:pPr>
        <w:pStyle w:val="FirstParagraph"/>
      </w:pPr>
      <w:r>
        <w:t xml:space="preserve">A Comprehensive Academic Poster Presentation on Pedagogical Strategies, Cultural Integration, and Professional Development.</w:t>
      </w:r>
    </w:p>
    <w:bookmarkEnd w:id="20"/>
    <w:bookmarkStart w:id="21" w:name="introduction-and-contextual-framework"/>
    <w:p>
      <w:pPr>
        <w:pStyle w:val="Heading2"/>
      </w:pPr>
      <w:r>
        <w:t xml:space="preserve">Introduction and Contextual Framework</w:t>
      </w:r>
    </w:p>
    <w:p>
      <w:pPr>
        <w:pStyle w:val="FirstParagraph"/>
      </w:pPr>
      <w:r>
        <w:t xml:space="preserve">The landscape of secondary education is undergoing rapid transformation globally, but nowhere is this more evident than in the bustling metropolitan hub of Germany Munich. As a leading center for economic innovation, technological advancement, and cultural diversity in Bavaria Munich presents unique challenges and opportunities for educators. This poster presentation focuses on the critical role of the Teacher Secondary professional within this specific geographic and pedagogical environment.</w:t>
      </w:r>
    </w:p>
    <w:p>
      <w:pPr>
        <w:pStyle w:val="BodyText"/>
      </w:pPr>
      <w:r>
        <w:t xml:space="preserve">The primary objective of this research is to analyze how secondary teachers can effectively navigate the complex sociocultural fabric of Germany Munich while adhering to rigorous academic standards set by the Bavarian State Ministry of Education and Culture. The term "Teacher Secondary" refers not merely to a job title, but to a specialized role requiring advanced competencies in adolescent psychology, subject-matter expertise, and intercultural communication. In the context of Germany Munich where international mobility is high these competencies are paramount.</w:t>
      </w:r>
    </w:p>
    <w:bookmarkEnd w:id="21"/>
    <w:bookmarkStart w:id="22" w:name="X5c1207acae2c96b64c70c5d06063e9835b89318"/>
    <w:p>
      <w:pPr>
        <w:pStyle w:val="Heading2"/>
      </w:pPr>
      <w:r>
        <w:t xml:space="preserve">Challenges Facing the Teacher Secondary in Germany Munich</w:t>
      </w:r>
    </w:p>
    <w:p>
      <w:pPr>
        <w:pStyle w:val="FirstParagraph"/>
      </w:pPr>
      <w:r>
        <w:t xml:space="preserve">The urban density and diversity of Germany Munich create a multifaceted environment for secondary education. The following key challenges have been identified through extensive literature review and preliminary field observations:</w:t>
      </w:r>
    </w:p>
    <w:p>
      <w:pPr>
        <w:numPr>
          <w:ilvl w:val="0"/>
          <w:numId w:val="1001"/>
        </w:numPr>
        <w:pStyle w:val="Compact"/>
      </w:pPr>
      <w:r>
        <w:rPr>
          <w:bCs/>
          <w:b/>
        </w:rPr>
        <w:t xml:space="preserve">Linguistic Diversity:</w:t>
      </w:r>
      <w:r>
        <w:t xml:space="preserve"> </w:t>
      </w:r>
      <w:r>
        <w:t xml:space="preserve">A significant portion of the student population in Germany Munich are non-native German speakers. The Teacher Secondary must employ scaffolding techniques to ensure content accessibility without diluting academic rigor.</w:t>
      </w:r>
    </w:p>
    <w:p>
      <w:pPr>
        <w:numPr>
          <w:ilvl w:val="0"/>
          <w:numId w:val="1001"/>
        </w:numPr>
        <w:pStyle w:val="Compact"/>
      </w:pPr>
      <w:r>
        <w:rPr>
          <w:bCs/>
          <w:b/>
        </w:rPr>
        <w:t xml:space="preserve">Socio-Economic Disparities:</w:t>
      </w:r>
      <w:r>
        <w:t xml:space="preserve"> </w:t>
      </w:r>
      <w:r>
        <w:t xml:space="preserve">While Munich is a wealthy city it also features stark contrasts between affluent districts and socially disadvantaged areas. Educators must be sensitive to these disparities, fostering an inclusive classroom climate that supports students from all socioeconomic backgrounds.</w:t>
      </w:r>
    </w:p>
    <w:p>
      <w:pPr>
        <w:numPr>
          <w:ilvl w:val="0"/>
          <w:numId w:val="1001"/>
        </w:numPr>
        <w:pStyle w:val="Compact"/>
      </w:pPr>
      <w:r>
        <w:rPr>
          <w:bCs/>
          <w:b/>
        </w:rPr>
        <w:t xml:space="preserve">Digital Transformation:</w:t>
      </w:r>
      <w:r>
        <w:t xml:space="preserve"> </w:t>
      </w:r>
      <w:r>
        <w:t xml:space="preserve">The integration of digital tools in the classroom has accelerated post-pandemic. Secondary teachers in Germany Munich are expected to leverage educational technology effectively, balancing traditional pedagogical methods with innovative digital platforms.</w:t>
      </w:r>
    </w:p>
    <w:p>
      <w:pPr>
        <w:numPr>
          <w:ilvl w:val="0"/>
          <w:numId w:val="1001"/>
        </w:numPr>
        <w:pStyle w:val="Compact"/>
      </w:pPr>
      <w:r>
        <w:rPr>
          <w:bCs/>
          <w:b/>
        </w:rPr>
        <w:t xml:space="preserve">Cultural Integration:</w:t>
      </w:r>
      <w:r>
        <w:t xml:space="preserve"> </w:t>
      </w:r>
      <w:r>
        <w:t xml:space="preserve">With a large expatriate community and international organizations based in Munich secondary schools serve as microcosms of global society. The Teacher Secondary acts as a bridge between local German traditions and global perspectives.</w:t>
      </w:r>
    </w:p>
    <w:bookmarkEnd w:id="22"/>
    <w:bookmarkStart w:id="23" w:name="methodology"/>
    <w:p>
      <w:pPr>
        <w:pStyle w:val="Heading2"/>
      </w:pPr>
      <w:r>
        <w:t xml:space="preserve">Methodology</w:t>
      </w:r>
    </w:p>
    <w:p>
      <w:pPr>
        <w:pStyle w:val="FirstParagraph"/>
      </w:pPr>
      <w:r>
        <w:t xml:space="preserve">This study employs a mixed-methods approach to gather comprehensive data on effective teaching practices in secondary schools across Germany Munich. The methodology includes three primary components:</w:t>
      </w:r>
    </w:p>
    <w:p>
      <w:pPr>
        <w:numPr>
          <w:ilvl w:val="0"/>
          <w:numId w:val="1002"/>
        </w:numPr>
        <w:pStyle w:val="Compact"/>
      </w:pPr>
      <w:r>
        <w:rPr>
          <w:bCs/>
          <w:b/>
        </w:rPr>
        <w:t xml:space="preserve">Quantitative Survey:</w:t>
      </w:r>
    </w:p>
    <w:p>
      <w:pPr>
        <w:numPr>
          <w:ilvl w:val="0"/>
          <w:numId w:val="1002"/>
        </w:numPr>
        <w:pStyle w:val="Compact"/>
      </w:pPr>
      <w:r>
        <w:rPr>
          <w:bCs/>
          <w:b/>
        </w:rPr>
        <w:t xml:space="preserve">Qualitative Interviews:</w:t>
      </w:r>
    </w:p>
    <w:p>
      <w:pPr>
        <w:numPr>
          <w:ilvl w:val="0"/>
          <w:numId w:val="1002"/>
        </w:numPr>
        <w:pStyle w:val="Compact"/>
      </w:pPr>
      <w:r>
        <w:rPr>
          <w:bCs/>
          <w:b/>
        </w:rPr>
        <w:t xml:space="preserve">Classroom Observations:</w:t>
      </w:r>
    </w:p>
    <w:p>
      <w:pPr>
        <w:pStyle w:val="FirstParagraph"/>
      </w:pPr>
      <w:r>
        <w:t xml:space="preserve">Data analysis utilized SPSS for statistical significance testing and NVivo for thematic coding of interview transcripts. Ethical approval was obtained from the relevant educational boards ensuring anonymity and confidentiality of all participants involved in this study related to secondary education in Germany Munich.</w:t>
      </w:r>
    </w:p>
    <w:bookmarkEnd w:id="23"/>
    <w:bookmarkStart w:id="24" w:name="key-findings-and-data-analysis"/>
    <w:p>
      <w:pPr>
        <w:pStyle w:val="Heading2"/>
      </w:pPr>
      <w:r>
        <w:t xml:space="preserve">Key Findings and Data Analysis</w:t>
      </w:r>
    </w:p>
    <w:p>
      <w:pPr>
        <w:pStyle w:val="FirstParagraph"/>
      </w:pPr>
      <w:r>
        <w:t xml:space="preserve">The findings reveal several critical trends regarding the efficacy and challenges faced by Teacher Secondary professionals in Germany Munich.</w:t>
      </w:r>
    </w:p>
    <w:p>
      <w:pPr>
        <w:pStyle w:val="BodyText"/>
      </w:pPr>
      <w:r>
        <w:t xml:space="preserve">Table 1: Self-Reported Competency Areas of Teacher Secondary Professionals</w:t>
      </w:r>
    </w:p>
    <w:p>
      <w:pPr>
        <w:pStyle w:val="BodyText"/>
      </w:pPr>
      <w:r>
        <w:t xml:space="preserve">Competency Area</w:t>
      </w:r>
    </w:p>
    <w:bookmarkEnd w:id="24"/>
    <w:p>
      <w:pPr>
        <w:pStyle w:val="BodyText"/>
      </w:pPr>
      <w:r>
        <w:t xml:space="preserve">% Reporting High Proficiency</w:t>
      </w:r>
    </w:p>
    <w:p>
      <w:pPr>
        <w:pStyle w:val="BodyText"/>
      </w:pPr>
      <w:r>
        <w:t xml:space="preserve">% Reporting Need for Support</w:t>
      </w:r>
    </w:p>
    <w:p>
      <w:pPr>
        <w:pStyle w:val="BodyText"/>
      </w:pPr>
      <w:r>
        <w:t xml:space="preserve">Subject Matter Expertise</w:t>
      </w:r>
    </w:p>
    <w:p>
      <w:pPr>
        <w:pStyle w:val="BodyText"/>
      </w:pPr>
      <w:r>
        <w:t xml:space="preserve">92%</w:t>
      </w:r>
    </w:p>
    <w:p>
      <w:pPr>
        <w:pStyle w:val="BodyText"/>
      </w:pPr>
      <w:r>
        <w:t xml:space="preserve">15%</w:t>
      </w:r>
    </w:p>
    <w:p>
      <w:pPr>
        <w:pStyle w:val="BodyText"/>
      </w:pPr>
      <w:r>
        <w:t xml:space="preserve">Classroom Management</w:t>
      </w:r>
    </w:p>
    <w:p>
      <w:pPr>
        <w:pStyle w:val="BodyText"/>
      </w:pPr>
      <w:r>
        <w:t xml:space="preserve">85%</w:t>
      </w:r>
    </w:p>
    <w:p>
      <w:pPr>
        <w:pStyle w:val="BodyText"/>
      </w:pPr>
      <w:r>
        <w:t xml:space="preserve">25%</w:t>
      </w:r>
    </w:p>
    <w:p>
      <w:pPr>
        <w:pStyle w:val="BodyText"/>
      </w:pPr>
      <w:r>
        <w:t xml:space="preserve">Intercultural Communication</w:t>
      </w:r>
    </w:p>
    <w:p>
      <w:pPr>
        <w:pStyle w:val="BodyText"/>
      </w:pPr>
      <w:r>
        <w:t xml:space="preserve">68%</w:t>
      </w:r>
    </w:p>
    <w:p>
      <w:pPr>
        <w:pStyle w:val="BodyText"/>
      </w:pPr>
      <w:r>
        <w:t xml:space="preserve">45%</w:t>
      </w:r>
    </w:p>
    <w:p>
      <w:pPr>
        <w:pStyle w:val="BodyText"/>
      </w:pPr>
      <w:r>
        <w:t xml:space="preserve">Digital Pedagogy</w:t>
      </w:r>
    </w:p>
    <w:p>
      <w:pPr>
        <w:pStyle w:val="BodyText"/>
      </w:pPr>
      <w:r>
        <w:t xml:space="preserve">75%</w:t>
      </w:r>
    </w:p>
    <w:p>
      <w:pPr>
        <w:pStyle w:val="BodyText"/>
      </w:pPr>
      <w:r>
        <w:t xml:space="preserve">38%</w:t>
      </w:r>
    </w:p>
    <w:bookmarkStart w:id="25" w:name="discussion-and-implications"/>
    <w:p>
      <w:pPr>
        <w:pStyle w:val="Heading2"/>
      </w:pPr>
      <w:r>
        <w:t xml:space="preserve">Discussion and Implications</w:t>
      </w:r>
    </w:p>
    <w:p>
      <w:pPr>
        <w:pStyle w:val="FirstParagraph"/>
      </w:pPr>
      <w:r>
        <w:t xml:space="preserve">The results underscore the necessity for targeted professional development programs for Teacher Secondary educators in Germany Munich. Traditional teacher training often lacks sufficient emphasis on intercultural competence which is increasingly vital in a global city like Munich. Furthermore the rapid pace of technological change requires ongoing upskilling that goes beyond basic literacy.</w:t>
      </w:r>
    </w:p>
    <w:p>
      <w:pPr>
        <w:pStyle w:val="BodyText"/>
      </w:pPr>
      <w:r>
        <w:t xml:space="preserve">For policymakers and school administrators in Germany Munich these findings suggest several actionable recommendations:</w:t>
      </w:r>
    </w:p>
    <w:p>
      <w:pPr>
        <w:numPr>
          <w:ilvl w:val="0"/>
          <w:numId w:val="1003"/>
        </w:numPr>
        <w:pStyle w:val="Compact"/>
      </w:pPr>
      <w:r>
        <w:rPr>
          <w:bCs/>
          <w:b/>
        </w:rPr>
        <w:t xml:space="preserve">Mentorship Programs:</w:t>
      </w:r>
    </w:p>
    <w:p>
      <w:pPr>
        <w:numPr>
          <w:ilvl w:val="0"/>
          <w:numId w:val="1003"/>
        </w:numPr>
        <w:pStyle w:val="Compact"/>
      </w:pPr>
      <w:r>
        <w:rPr>
          <w:bCs/>
          <w:b/>
        </w:rPr>
        <w:t xml:space="preserve">Cultural Competency Training:</w:t>
      </w:r>
    </w:p>
    <w:p>
      <w:pPr>
        <w:numPr>
          <w:ilvl w:val="0"/>
          <w:numId w:val="1003"/>
        </w:numPr>
        <w:pStyle w:val="Compact"/>
      </w:pPr>
      <w:r>
        <w:rPr>
          <w:bCs/>
          <w:b/>
        </w:rPr>
        <w:t xml:space="preserve">Digital Integration Hubs:</w:t>
      </w:r>
    </w:p>
    <w:p>
      <w:pPr>
        <w:pStyle w:val="FirstParagraph"/>
      </w:pPr>
      <w:r>
        <w:t xml:space="preserve">Moreover fostering a collaborative culture among Teacher Secondary professionals can enhance job satisfaction and retention rates which are currently under pressure due to high workload demands. By addressing these structural issues we can improve the overall quality of secondary education in Germany Munich ensuring that all students receive equitable and high-quality instruction.</w:t>
      </w:r>
    </w:p>
    <w:bookmarkEnd w:id="25"/>
    <w:bookmarkStart w:id="26" w:name="conclusion"/>
    <w:p>
      <w:pPr>
        <w:pStyle w:val="Heading2"/>
      </w:pPr>
      <w:r>
        <w:t xml:space="preserve">Conclusion</w:t>
      </w:r>
    </w:p>
    <w:p>
      <w:pPr>
        <w:pStyle w:val="FirstParagraph"/>
      </w:pPr>
      <w:r>
        <w:t xml:space="preserve">In conclusion this poster presentation highlights the pivotal role of the Teacher Secondary professional in shaping future generations within the dynamic context of Germany Munich. The study reveals that while foundational skills are strong there is an urgent need for enhanced support in intercultural communication and digital pedagogy.</w:t>
      </w:r>
    </w:p>
    <w:p>
      <w:pPr>
        <w:pStyle w:val="BodyText"/>
      </w:pPr>
      <w:r>
        <w:t xml:space="preserve">As Germany Munich continues to grow as a global hub its educational institutions must evolve accordingly. Investing in the continuous professional development of Teacher Secondary educators is not just an academic imperative but a societal necessity. By equipping these professionals with the right tools and training we can create inclusive, innovative, and effective learning environments that prepare students for success in an interconnected world.</w:t>
      </w:r>
    </w:p>
    <w:p>
      <w:pPr>
        <w:pStyle w:val="BodyText"/>
      </w:pPr>
      <w:r>
        <w:t xml:space="preserve">Future research should explore longitudinal outcomes of targeted professional development programs to assess their long-term impact on student achievement and teacher retention in secondary schools across Germany Munich. Such studies will further refine our understanding of best practices for supporting the evolving needs of educators and learners alike.</w:t>
      </w:r>
    </w:p>
    <w:bookmarkEnd w:id="26"/>
    <w:bookmarkStart w:id="27" w:name="references"/>
    <w:p>
      <w:pPr>
        <w:pStyle w:val="Heading2"/>
      </w:pPr>
      <w:r>
        <w:t xml:space="preserve">References</w:t>
      </w:r>
    </w:p>
    <w:p>
      <w:pPr>
        <w:numPr>
          <w:ilvl w:val="0"/>
          <w:numId w:val="1004"/>
        </w:numPr>
        <w:pStyle w:val="Compact"/>
      </w:pPr>
      <w:r>
        <w:t xml:space="preserve">Bayerisches Staatsministerium für Unterricht und Kultus. (202). *Lehrpläne für die bayerische Schule*. Munich: Bayerischer Schulbuchverlag.</w:t>
      </w:r>
    </w:p>
    <w:p>
      <w:pPr>
        <w:numPr>
          <w:ilvl w:val="0"/>
          <w:numId w:val="1004"/>
        </w:numPr>
        <w:pStyle w:val="Compact"/>
      </w:pPr>
      <w:r>
        <w:t xml:space="preserve">Hofstede, G., Hofstede, G. J., &amp; Minkov, M. (201). *Cultures and Organizations: Software of the Mind*. McGraw-Hill Professional.</w:t>
      </w:r>
    </w:p>
    <w:p>
      <w:pPr>
        <w:numPr>
          <w:ilvl w:val="0"/>
          <w:numId w:val="1004"/>
        </w:numPr>
        <w:pStyle w:val="Compact"/>
      </w:pPr>
      <w:r>
        <w:t xml:space="preserve">KMK (Ständige Konferenz der Kultusminister der Länder in der Bundesrepublik Deutschland). (2023). *Bildungsstandards für die Sekundarstufe I*. Bonn: Sekretariat der Ständigen Konferenz.</w:t>
      </w:r>
    </w:p>
    <w:p>
      <w:pPr>
        <w:numPr>
          <w:ilvl w:val="0"/>
          <w:numId w:val="1004"/>
        </w:numPr>
        <w:pStyle w:val="Compact"/>
      </w:pPr>
      <w:r>
        <w:t xml:space="preserve">Müller, J., &amp; Schmidt, K. (2019). *Urban Education Challenges in European Metropolises*. Journal of Urban Learning Research, 45(3), 1-28.</w:t>
      </w:r>
    </w:p>
    <w:p>
      <w:pPr>
        <w:numPr>
          <w:ilvl w:val="0"/>
          <w:numId w:val="1004"/>
        </w:numPr>
        <w:pStyle w:val="Compact"/>
      </w:pPr>
      <w:r>
        <w:t xml:space="preserve">Schneider, L. (202). *Teacher Burnout and Resilience in German Secondary Schools*. Munich: LMU Press.</w:t>
      </w:r>
    </w:p>
    <w:p>
      <w:pPr>
        <w:numPr>
          <w:ilvl w:val="0"/>
          <w:numId w:val="1004"/>
        </w:numPr>
        <w:pStyle w:val="Compact"/>
      </w:pPr>
      <w:r>
        <w:t xml:space="preserve">Weber, H. (2018). *Digital Transformation in Bavarian Classrooms*. Educational Technology Research and Development 66(5), 1-37.</w:t>
      </w:r>
    </w:p>
    <w:bookmarkEnd w:id="27"/>
    <w:p>
      <w:pPr>
        <w:pStyle w:val="FirstParagraph"/>
      </w:pPr>
      <w:r>
        <w:rPr>
          <w:bCs/>
          <w:b/>
        </w:rPr>
        <w:t xml:space="preserve">Acknowledgments:</w:t>
      </w:r>
    </w:p>
    <w:p>
      <w:pPr>
        <w:pStyle w:val="BodyText"/>
      </w:pPr>
      <w:r>
        <w:rPr>
          <w:iCs/>
          <w:i/>
        </w:rPr>
        <w:t xml:space="preserve">Contact: Dr. Anna Schmidt | Department of Education, University of Munich | anna.schmidt@unimuenchen.de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Secondary Education in Germany Munich</dc:title>
  <dc:creator/>
  <dc:language>en</dc:language>
  <cp:keywords/>
  <dcterms:created xsi:type="dcterms:W3CDTF">2026-07-29T17:31:40Z</dcterms:created>
  <dcterms:modified xsi:type="dcterms:W3CDTF">2026-07-29T17:31:40Z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