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Poster</w:t>
      </w:r>
      <w:r>
        <w:t xml:space="preserve"> </w:t>
      </w:r>
      <w:r>
        <w:t xml:space="preserve">Presentation:</w:t>
      </w:r>
      <w:r>
        <w:t xml:space="preserve"> </w:t>
      </w:r>
      <w:r>
        <w:t xml:space="preserve">Secondary</w:t>
      </w:r>
      <w:r>
        <w:t xml:space="preserve"> </w:t>
      </w:r>
      <w:r>
        <w:t xml:space="preserve">Education</w:t>
      </w:r>
      <w:r>
        <w:t xml:space="preserve"> </w:t>
      </w:r>
      <w:r>
        <w:t xml:space="preserve">in</w:t>
      </w:r>
      <w:r>
        <w:t xml:space="preserve"> </w:t>
      </w:r>
      <w:r>
        <w:t xml:space="preserve">Indonesia</w:t>
      </w:r>
      <w:r>
        <w:t xml:space="preserve"> </w:t>
      </w:r>
      <w:r>
        <w:t xml:space="preserve">Jakarta</w:t>
      </w:r>
    </w:p>
    <w:bookmarkStart w:id="20" w:name="X03144266e3b1e428faa34baa27217bc7ba62318"/>
    <w:p>
      <w:pPr>
        <w:pStyle w:val="Heading1"/>
      </w:pPr>
      <w:r>
        <w:t xml:space="preserve">Bridging the Gap: Enhancing Pedagogical Competence in Secondary Teacher Education</w:t>
      </w:r>
      <w:r>
        <w:br/>
      </w:r>
      <w:r>
        <w:t xml:space="preserve">A Contextual Framework for Indonesia Jakarta's Urban Educational Landscape</w:t>
      </w:r>
    </w:p>
    <w:p>
      <w:pPr>
        <w:pStyle w:val="FirstParagraph"/>
      </w:pPr>
      <w:r>
        <w:rPr>
          <w:bCs/>
          <w:b/>
        </w:rPr>
        <w:t xml:space="preserve">Author:</w:t>
      </w:r>
      <w:r>
        <w:t xml:space="preserve"> </w:t>
      </w:r>
      <w:r>
        <w:t xml:space="preserve">Academic Research Team on Urban Education Reform</w:t>
      </w:r>
      <w:r>
        <w:br/>
      </w:r>
      <w:r>
        <w:rPr>
          <w:bCs/>
          <w:b/>
        </w:rPr>
        <w:t xml:space="preserve">Date:</w:t>
      </w:r>
      <w:r>
        <w:t xml:space="preserve"> </w:t>
      </w:r>
      <w:r>
        <w:t xml:space="preserve">October 2023 |</w:t>
      </w:r>
      <w:r>
        <w:t xml:space="preserve"> </w:t>
      </w:r>
      <w:r>
        <w:rPr>
          <w:bCs/>
          <w:b/>
        </w:rPr>
        <w:t xml:space="preserve">Type:</w:t>
      </w:r>
      <w:r>
        <w:t xml:space="preserve"> </w:t>
      </w:r>
      <w:r>
        <w:t xml:space="preserve">Poster Presentation Abstract &amp; Analysis</w:t>
      </w:r>
    </w:p>
    <w:bookmarkEnd w:id="20"/>
    <w:bookmarkStart w:id="21" w:name="introduction-and-contextual-background"/>
    <w:p>
      <w:pPr>
        <w:pStyle w:val="Heading2"/>
      </w:pPr>
      <w:r>
        <w:t xml:space="preserve">1. Introduction and Contextual Background</w:t>
      </w:r>
    </w:p>
    <w:p>
      <w:pPr>
        <w:pStyle w:val="FirstParagraph"/>
      </w:pPr>
      <w:r>
        <w:t xml:space="preserve">The landscape of secondary education in Indonesia Jakarta is undergoing a profound transformation driven by rapid urbanization, demographic shifts, and the pressing demands of the 21st-century global economy. As one of Southeast Asia’s most critical economic hubs, Jakarta presents unique pedagogical challenges that differ significantly from rural educational contexts. This poster presentation focuses on the specific needs of</w:t>
      </w:r>
      <w:r>
        <w:t xml:space="preserve"> </w:t>
      </w:r>
      <w:r>
        <w:rPr>
          <w:bCs/>
          <w:b/>
        </w:rPr>
        <w:t xml:space="preserve">Teacher Secondary</w:t>
      </w:r>
      <w:r>
        <w:t xml:space="preserve"> </w:t>
      </w:r>
      <w:r>
        <w:t xml:space="preserve">education within this metropolitan area.</w:t>
      </w:r>
    </w:p>
    <w:p>
      <w:pPr>
        <w:pStyle w:val="BodyText"/>
      </w:pPr>
      <w:r>
        <w:t xml:space="preserve">In recent years, the Indonesian Ministry of Education has emphasized quality assurance in teacher certification and continuous professional development (CPD). However, existing frameworks often fail to address the hyper-urban realities of Jakarta’s classrooms. Students in Jakarta are exposed to diverse socio-economic backgrounds, digital-native learning preferences, and high-stakes academic pressures. Consequently,</w:t>
      </w:r>
      <w:r>
        <w:rPr>
          <w:bCs/>
          <w:b/>
        </w:rPr>
        <w:t xml:space="preserve">Teacher Secondary</w:t>
      </w:r>
      <w:r>
        <w:t xml:space="preserve"> </w:t>
      </w:r>
      <w:r>
        <w:t xml:space="preserve">educators require specialized training that goes beyond standard pedagogical theory to include urban classroom management, culturally responsive teaching, and integrated technology adoption.</w:t>
      </w:r>
    </w:p>
    <w:p>
      <w:pPr>
        <w:pStyle w:val="BodyText"/>
      </w:pPr>
      <w:r>
        <w:rPr>
          <w:bCs/>
          <w:b/>
        </w:rPr>
        <w:t xml:space="preserve">Key Objective:</w:t>
      </w:r>
      <w:r>
        <w:t xml:space="preserve">To propose a localized competency framework for secondary teachers in Indonesia Jakarta that integrates digital literacy with traditional pedagogical rigor.</w:t>
      </w:r>
    </w:p>
    <w:bookmarkEnd w:id="21"/>
    <w:bookmarkStart w:id="22" w:name="the-urban-challenge-in-indonesia-jakarta"/>
    <w:p>
      <w:pPr>
        <w:pStyle w:val="Heading2"/>
      </w:pPr>
      <w:r>
        <w:t xml:space="preserve">2. The Urban Challenge in Indonesia Jakarta</w:t>
      </w:r>
    </w:p>
    <w:p>
      <w:pPr>
        <w:pStyle w:val="FirstParagraph"/>
      </w:pPr>
      <w:r>
        <w:t xml:space="preserve">The educational ecosystem in Indonesia Jakarta is characterized by extreme density and resource variability. While elite international schools thrive, public secondary schools often grapple with overcrowded classrooms and limited infrastructure. This disparity creates a bifurcation in educational quality that affects student outcomes significantly.</w:t>
      </w:r>
    </w:p>
    <w:p>
      <w:pPr>
        <w:pStyle w:val="BodyText"/>
      </w:pPr>
      <w:r>
        <w:t xml:space="preserve">The role of the</w:t>
      </w:r>
      <w:r>
        <w:t xml:space="preserve"> </w:t>
      </w:r>
      <w:r>
        <w:rPr>
          <w:bCs/>
          <w:b/>
        </w:rPr>
        <w:t xml:space="preserve">Teacher Secondary</w:t>
      </w:r>
      <w:r>
        <w:t xml:space="preserve"> </w:t>
      </w:r>
      <w:r>
        <w:t xml:space="preserve">educator in this environment is complex. They are not merely content deliverers but must act as mentors, social workers, and digital facilitators simultaneously. The current pre-service and in-service training models for secondary teachers in Indonesia Jakarta often lack practical components tailored to these urban stressors. For instance, traditional lectures on classroom management do adequately prepare teachers for the behavioral dynamics of a Jakarta high school where students may face traffic-related fatigue or socioeconomic instability.</w:t>
      </w:r>
    </w:p>
    <w:p>
      <w:pPr>
        <w:pStyle w:val="BodyText"/>
      </w:pPr>
      <w:r>
        <w:t xml:space="preserve">Furthermore, the "Teacher Secondary" identity in Jakarta is evolving. The expectation is no longer just to teach Mathematics or Bahasa Indonesia but to foster critical thinking and creativity. This shift requires a re-evaluation of how teachers are trained and supported within the specific geographic and cultural context of Indonesia Jakarta.</w:t>
      </w:r>
    </w:p>
    <w:bookmarkEnd w:id="22"/>
    <w:bookmarkStart w:id="23" w:name="proposed-pedagogical-framework"/>
    <w:p>
      <w:pPr>
        <w:pStyle w:val="Heading2"/>
      </w:pPr>
      <w:r>
        <w:t xml:space="preserve">3. Proposed Pedagogical Framework</w:t>
      </w:r>
    </w:p>
    <w:p>
      <w:pPr>
        <w:pStyle w:val="FirstParagraph"/>
      </w:pPr>
      <w:r>
        <w:t xml:space="preserve">This presentation outlines a three-pillar approach to enhancing secondary teacher competence in Indonesia Jakarta:</w:t>
      </w:r>
    </w:p>
    <w:p>
      <w:pPr>
        <w:numPr>
          <w:ilvl w:val="0"/>
          <w:numId w:val="1001"/>
        </w:numPr>
        <w:pStyle w:val="Compact"/>
      </w:pPr>
      <w:r>
        <w:rPr>
          <w:bCs/>
          <w:b/>
        </w:rPr>
        <w:t xml:space="preserve">Pillar One: Digital-Integrated Pedagogy.</w:t>
      </w:r>
      <w:r>
        <w:t xml:space="preserve"> </w:t>
      </w:r>
      <w:r>
        <w:t xml:space="preserve">Recognizing that Jakarta students are highly connected, this pillar focuses on leveraging mobile learning and AI-driven educational tools. Secondary teachers must be proficient in using Learning Management Systems (LMS) adapted for low-bandwidth environments, ensuring inclusivity for students with varying levels of home internet access.</w:t>
      </w:r>
    </w:p>
    <w:p>
      <w:pPr>
        <w:numPr>
          <w:ilvl w:val="0"/>
          <w:numId w:val="1001"/>
        </w:numPr>
        <w:pStyle w:val="Compact"/>
      </w:pPr>
      <w:r>
        <w:rPr>
          <w:bCs/>
          <w:b/>
        </w:rPr>
        <w:t xml:space="preserve">Pillar Two: Culturally Responsive Urban Teaching.</w:t>
      </w:r>
      <w:r>
        <w:t xml:space="preserve"> </w:t>
      </w:r>
      <w:r>
        <w:t xml:space="preserve">This pillar addresses the multicultural nature of Jakarta’s population. Secondary educators need training in managing diverse linguistic and cultural groups within a single classroom. This includes strategies for mitigating bias and promoting social cohesion among students from different ethnic and religious backgrounds prevalent in Indonesia Jakarta.</w:t>
      </w:r>
    </w:p>
    <w:p>
      <w:pPr>
        <w:numPr>
          <w:ilvl w:val="0"/>
          <w:numId w:val="1001"/>
        </w:numPr>
        <w:pStyle w:val="Compact"/>
      </w:pPr>
      <w:r>
        <w:rPr>
          <w:bCs/>
          <w:b/>
        </w:rPr>
        <w:t xml:space="preserve">Pillar Three: Trauma-Informed Practices.</w:t>
      </w:r>
      <w:r>
        <w:t xml:space="preserve"> </w:t>
      </w:r>
      <w:r>
        <w:t xml:space="preserve">Given the fast-paced, high-pressure environment of urban life, secondary teachers are increasingly first responders to student anxiety. This pillar introduces psychological support techniques tailored for adolescent development in a metropolitan setting.</w:t>
      </w:r>
    </w:p>
    <w:bookmarkEnd w:id="23"/>
    <w:bookmarkStart w:id="24" w:name="implementation-and-policy-implications"/>
    <w:p>
      <w:pPr>
        <w:pStyle w:val="Heading2"/>
      </w:pPr>
      <w:r>
        <w:t xml:space="preserve">4. Implementation and Policy Implications</w:t>
      </w:r>
    </w:p>
    <w:p>
      <w:pPr>
        <w:pStyle w:val="FirstParagraph"/>
      </w:pPr>
      <w:r>
        <w:t xml:space="preserve">To successfully implement these changes, a collaborative model between universities, government agencies (such as the Jakarta Provincial Education Office), and international partners is essential. Professional development for</w:t>
      </w:r>
      <w:r>
        <w:t xml:space="preserve"> </w:t>
      </w:r>
      <w:r>
        <w:rPr>
          <w:bCs/>
          <w:b/>
        </w:rPr>
        <w:t xml:space="preserve">Teacher Secondary</w:t>
      </w:r>
      <w:r>
        <w:t xml:space="preserve"> </w:t>
      </w:r>
      <w:r>
        <w:t xml:space="preserve">educators should shift from one-off workshops to continuous, mentorship-based coaching models.</w:t>
      </w:r>
    </w:p>
    <w:p>
      <w:pPr>
        <w:pStyle w:val="BodyText"/>
      </w:pPr>
      <w:r>
        <w:t xml:space="preserve">We propose the establishment of "Urban Teaching Labs" in key districts of Indonesia Jakarta. These labs would serve as innovation hubs where secondary teachers can experiment with new pedagogical strategies in a safe, supportive environment before applying them in their regular classrooms. These labs would facilitate peer-to-peer learning and provide real-time feedback from instructional coaches.</w:t>
      </w:r>
    </w:p>
    <w:p>
      <w:pPr>
        <w:pStyle w:val="BodyText"/>
      </w:pPr>
      <w:r>
        <w:t xml:space="preserve">Furthermore, policy recommendations include revising the national curriculum guidelines to allow for local adaptations that reflect Jakarta’s unique educational needs. This autonomy enables secondary schools to tailor their teacher training programs more closely to the immediate needs of their student body. The certification process for secondary teachers in Indonesia Jakarta should also incorporate practical assessments that test urban classroom management and digital integration skills.</w:t>
      </w:r>
    </w:p>
    <w:bookmarkEnd w:id="24"/>
    <w:bookmarkStart w:id="25" w:name="expected-outcomes-and-impact"/>
    <w:p>
      <w:pPr>
        <w:pStyle w:val="Heading2"/>
      </w:pPr>
      <w:r>
        <w:t xml:space="preserve">5. Expected Outcomes and Impact</w:t>
      </w:r>
    </w:p>
    <w:p>
      <w:pPr>
        <w:pStyle w:val="FirstParagraph"/>
      </w:pPr>
      <w:r>
        <w:t xml:space="preserve">The implementation of this framework is projected to yield several positive outcomes for the education sector in Indonesia Jakarta. First, we anticipate an improvement in student engagement and academic performance due to more relevant and engaging teaching methods. By equipping</w:t>
      </w:r>
      <w:r>
        <w:t xml:space="preserve"> </w:t>
      </w:r>
      <w:r>
        <w:rPr>
          <w:bCs/>
          <w:b/>
        </w:rPr>
        <w:t xml:space="preserve">Teacher Secondary</w:t>
      </w:r>
      <w:r>
        <w:t xml:space="preserve"> </w:t>
      </w:r>
      <w:r>
        <w:t xml:space="preserve">educators with tools that resonate with their students' digital realities, barriers to learning can be reduced.</w:t>
      </w:r>
    </w:p>
    <w:p>
      <w:pPr>
        <w:pStyle w:val="BodyText"/>
      </w:pPr>
      <w:r>
        <w:t xml:space="preserve">Second, there will be a significant reduction in teacher burnout. Providing teachers with effective strategies for classroom management and student well-being reduces stress levels among educators. A supported teaching workforce is more stable, leading to better continuity in education for students across Indonesia Jakarta.</w:t>
      </w:r>
    </w:p>
    <w:p>
      <w:pPr>
        <w:pStyle w:val="BodyText"/>
      </w:pPr>
      <w:r>
        <w:t xml:space="preserve">Finally, this approach contributes to the broader goal of educational equity. By focusing on public and semi-public secondary schools within the city, we aim to narrow the achievement gap between different socio-economic groups. The holistic support system for teachers ensures that all students, regardless of background in Indonesia Jakarta, have access to high-quality education.</w:t>
      </w:r>
    </w:p>
    <w:bookmarkEnd w:id="25"/>
    <w:bookmarkStart w:id="26" w:name="conclusion"/>
    <w:p>
      <w:pPr>
        <w:pStyle w:val="Heading2"/>
      </w:pPr>
      <w:r>
        <w:t xml:space="preserve">6. Conclusion</w:t>
      </w:r>
    </w:p>
    <w:p>
      <w:pPr>
        <w:pStyle w:val="FirstParagraph"/>
      </w:pPr>
      <w:r>
        <w:t xml:space="preserve">The future of secondary education in Indonesia Jakarta hinges on the capacity and competence of its teachers. By adapting traditional teacher training models to address the specific urban, cultural, and technological challenges of this dynamic region, we can create a more resilient and effective educational system. The proposed framework for</w:t>
      </w:r>
      <w:r>
        <w:t xml:space="preserve"> </w:t>
      </w:r>
      <w:r>
        <w:rPr>
          <w:bCs/>
          <w:b/>
        </w:rPr>
        <w:t xml:space="preserve">Teacher Secondary</w:t>
      </w:r>
      <w:r>
        <w:t xml:space="preserve"> </w:t>
      </w:r>
      <w:r>
        <w:t xml:space="preserve">development offers a roadmap for achieving these goals.</w:t>
      </w:r>
    </w:p>
    <w:p>
      <w:pPr>
        <w:pStyle w:val="BodyText"/>
      </w:pPr>
      <w:r>
        <w:t xml:space="preserve">This poster presentation serves as a call to action for policymakers, university educators, and school administrators. We must prioritize localized training solutions that respect the unique context of Indonesia Jakarta while upholding international standards of excellence. Only by empowering secondary teachers with the right tools and support can we ensure equitable and high-quality education for all students in this vital urban center.</w:t>
      </w:r>
    </w:p>
    <w:p>
      <w:pPr>
        <w:pStyle w:val="BodyText"/>
      </w:pPr>
      <w:r>
        <w:rPr>
          <w:bCs/>
          <w:b/>
        </w:rPr>
        <w:t xml:space="preserve">Keywords:</w:t>
      </w:r>
      <w:r>
        <w:t xml:space="preserve"> </w:t>
      </w:r>
      <w:r>
        <w:t xml:space="preserve">Secondary Education, Teacher Training, Indonesia Jakarta, Urban Pedagogy, Digital Literacy, Educational Reform.</w:t>
      </w:r>
    </w:p>
    <w:bookmarkEnd w:id="26"/>
    <w:p>
      <w:pPr>
        <w:pStyle w:val="BodyText"/>
      </w:pPr>
      <w:r>
        <w:t xml:space="preserve">© 2023 Academic Research Group on Urban Education. All Rights Reserved.</w:t>
      </w:r>
      <w:r>
        <w:br/>
      </w:r>
      <w:r>
        <w:t xml:space="preserve">Presented at the International Symposium on Southeast Asian Education Trends.</w:t>
      </w:r>
      <w:r>
        <w:br/>
      </w:r>
      <w:r>
        <w:t xml:space="preserve">Contact: research@urbaneducation.id | Jakarta, Indonesia.</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Poster Presentation: Secondary Education in Indonesia Jakarta</dc:title>
  <dc:creator/>
  <dc:language>en</dc:language>
  <cp:keywords/>
  <dcterms:created xsi:type="dcterms:W3CDTF">2026-07-29T14:36:02Z</dcterms:created>
  <dcterms:modified xsi:type="dcterms:W3CDTF">2026-07-29T14:36:02Z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