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Japan</w:t>
      </w:r>
    </w:p>
    <w:bookmarkStart w:id="20" w:name="X0647e612972ba9b1e7ffba7498a6360ea42646b"/>
    <w:p>
      <w:pPr>
        <w:pStyle w:val="Heading1"/>
      </w:pPr>
      <w:r>
        <w:t xml:space="preserve">Bridging Global Competence and Local Tradition: The Evolving Role of the Secondary Teacher in Japan</w:t>
      </w:r>
    </w:p>
    <w:p>
      <w:pPr>
        <w:pStyle w:val="FirstParagraph"/>
      </w:pPr>
      <w:r>
        <w:t xml:space="preserve">Presented at the International Symposium on Pedagogy and Cultural Integration</w:t>
      </w:r>
      <w:r>
        <w:br/>
      </w:r>
      <w:r>
        <w:t xml:space="preserve">Location: Osaka, Japan</w:t>
      </w:r>
      <w:r>
        <w:br/>
      </w:r>
      <w:r>
        <w:t xml:space="preserve">Focus Area: Secondary Education Reform &amp; Teacher Development</w:t>
      </w:r>
      <w:r>
        <w:br/>
      </w:r>
    </w:p>
    <w:bookmarkEnd w:id="20"/>
    <w:bookmarkStart w:id="21" w:name="introduction-and-contextual-framework"/>
    <w:p>
      <w:pPr>
        <w:pStyle w:val="Heading2"/>
      </w:pPr>
      <w:r>
        <w:t xml:space="preserve">1. Introduction and Contextual Framework</w:t>
      </w:r>
    </w:p>
    <w:p>
      <w:pPr>
        <w:pStyle w:val="FirstParagraph"/>
      </w:pPr>
      <w:r>
        <w:t xml:space="preserve">The role of the secondary teacher in Japan is currently undergoing a profound transformation. Historically, Japanese education has been characterized by high academic rigor, strict adherence to national curricular standards, and a strong emphasis on group harmony (</w:t>
      </w:r>
      <w:r>
        <w:rPr>
          <w:iCs/>
          <w:i/>
        </w:rPr>
        <w:t xml:space="preserve">wa</w:t>
      </w:r>
      <w:r>
        <w:t xml:space="preserve">). However, as global society shifts toward digitalization and interdisciplinary learning, the expectations for</w:t>
      </w:r>
      <w:r>
        <w:t xml:space="preserve"> </w:t>
      </w:r>
      <w:r>
        <w:rPr>
          <w:bCs/>
          <w:b/>
        </w:rPr>
        <w:t xml:space="preserve">Teacher Secondary</w:t>
      </w:r>
      <w:r>
        <w:t xml:space="preserve"> </w:t>
      </w:r>
      <w:r>
        <w:t xml:space="preserve">educators are expanding beyond mere knowledge transmission.</w:t>
      </w:r>
      <w:r>
        <w:t xml:space="preserve"> </w:t>
      </w:r>
      <w:r>
        <w:t xml:space="preserve">This poster presentation explores the dual challenge faced by educators in Osaka and across Japan: maintaining the high standards of academic excellence while fostering critical thinking, creativity, and global citizenship. The context is set within</w:t>
      </w:r>
      <w:r>
        <w:t xml:space="preserve"> </w:t>
      </w:r>
      <w:r>
        <w:rPr>
          <w:bCs/>
          <w:b/>
        </w:rPr>
        <w:t xml:space="preserve">Japan Osaka</w:t>
      </w:r>
      <w:r>
        <w:t xml:space="preserve">, a city that serves as a microcosm for broader national educational trends due to its rapid urbanization, diverse population growth, and status as an economic hub.</w:t>
      </w:r>
      <w:r>
        <w:t xml:space="preserve"> </w:t>
      </w:r>
      <w:r>
        <w:t xml:space="preserve">As Japan faces demographic challenges, including a declining student population in rural areas and increasing diversity in metropolitan centers like Osaka, the</w:t>
      </w:r>
      <w:r>
        <w:t xml:space="preserve"> </w:t>
      </w:r>
      <w:r>
        <w:rPr>
          <w:bCs/>
          <w:b/>
        </w:rPr>
        <w:t xml:space="preserve">Teacher Secondary</w:t>
      </w:r>
      <w:r>
        <w:t xml:space="preserve"> </w:t>
      </w:r>
      <w:r>
        <w:t xml:space="preserve">professional must adapt to heterogeneous classrooms. This adaptation requires a shift from teacher-centered instruction to student-centered learning methodologies, a transition that is central to this academic discussion.</w:t>
      </w:r>
    </w:p>
    <w:bookmarkEnd w:id="21"/>
    <w:bookmarkStart w:id="23" w:name="X3eeb1faf6d7184c38fa1c0bd4c5d137c686d532"/>
    <w:p>
      <w:pPr>
        <w:pStyle w:val="Heading2"/>
      </w:pPr>
      <w:r>
        <w:t xml:space="preserve">2. The Shifting Paradigm of Secondary Teaching</w:t>
      </w:r>
    </w:p>
    <w:p>
      <w:pPr>
        <w:pStyle w:val="FirstParagraph"/>
      </w:pPr>
      <w:r>
        <w:t xml:space="preserve">In the traditional Japanese secondary school system, teachers often served as authority figures responsible for both academic instruction and moral guidance (often referred to as</w:t>
      </w:r>
      <w:r>
        <w:t xml:space="preserve"> </w:t>
      </w:r>
      <w:r>
        <w:rPr>
          <w:iCs/>
          <w:i/>
        </w:rPr>
        <w:t xml:space="preserve">Bannin</w:t>
      </w:r>
      <w:r>
        <w:t xml:space="preserve">, or homeroom teachers). Today, the role is evolving. The introduction of English education changes in elementary schools and the increased focus on "Active Learning" (*Aktibu Riningu*) in secondary institutions has necessitated a re-evaluation of pedagogical strategies.</w:t>
      </w:r>
    </w:p>
    <w:bookmarkStart w:id="22" w:name="Xc3efc513577df3767dd229d036ac6fe9b1a418c"/>
    <w:p>
      <w:pPr>
        <w:pStyle w:val="Heading3"/>
      </w:pPr>
      <w:r>
        <w:t xml:space="preserve">Key Responsibilities of the Modern Secondary Teacher:</w:t>
      </w:r>
    </w:p>
    <w:p>
      <w:pPr>
        <w:numPr>
          <w:ilvl w:val="0"/>
          <w:numId w:val="1001"/>
        </w:numPr>
        <w:pStyle w:val="Compact"/>
      </w:pPr>
      <w:r>
        <w:t xml:space="preserve">Facilitator of Inquiry:</w:t>
      </w:r>
      <w:r>
        <w:t xml:space="preserve"> </w:t>
      </w:r>
      <w:r>
        <w:t xml:space="preserve">Moving away from rote memorization, secondary teachers in Japan are now expected to guide students through problem-based learning (PBL). This is particularly evident in Osaka’s forward-thinking schools, where local community issues are used as case studies.</w:t>
      </w:r>
    </w:p>
    <w:p>
      <w:pPr>
        <w:numPr>
          <w:ilvl w:val="0"/>
          <w:numId w:val="1001"/>
        </w:numPr>
        <w:pStyle w:val="Compact"/>
      </w:pPr>
      <w:r>
        <w:t xml:space="preserve">Integrator of Technology:</w:t>
      </w:r>
      <w:r>
        <w:t xml:space="preserve"> </w:t>
      </w:r>
      <w:r>
        <w:t xml:space="preserve">The integration of GIGA School initiatives (one device per student) requires secondary teachers to be proficient in digital tools. In Japan, this means leveraging technology not just for efficiency, but for creating collaborative environments that transcend classroom walls.</w:t>
      </w:r>
    </w:p>
    <w:p>
      <w:pPr>
        <w:numPr>
          <w:ilvl w:val="0"/>
          <w:numId w:val="1001"/>
        </w:numPr>
        <w:pStyle w:val="Compact"/>
      </w:pPr>
      <w:r>
        <w:t xml:space="preserve">Cultural Broker:</w:t>
      </w:r>
      <w:r>
        <w:t xml:space="preserve"> </w:t>
      </w:r>
      <w:r>
        <w:t xml:space="preserve">As schools in</w:t>
      </w:r>
      <w:r>
        <w:t xml:space="preserve"> </w:t>
      </w:r>
      <w:r>
        <w:rPr>
          <w:bCs/>
          <w:b/>
        </w:rPr>
        <w:t xml:space="preserve">Japan Osaka</w:t>
      </w:r>
      <w:r>
        <w:t xml:space="preserve"> </w:t>
      </w:r>
      <w:r>
        <w:t xml:space="preserve">become more international, secondary teachers play a crucial role in managing cultural diversity. They must support students from varied backgrounds while fostering a cohesive school culture. This involves navigating the nuances of Japanese social norms alongside global educational values.</w:t>
      </w:r>
    </w:p>
    <w:bookmarkEnd w:id="22"/>
    <w:bookmarkEnd w:id="23"/>
    <w:bookmarkStart w:id="26" w:name="X93e0184c007574e9b9eccdc2d62cec7eb285e46"/>
    <w:p>
      <w:pPr>
        <w:pStyle w:val="Heading2"/>
      </w:pPr>
      <w:r>
        <w:t xml:space="preserve">3. Challenges and Opportunities in the Osaka Context</w:t>
      </w:r>
    </w:p>
    <w:p>
      <w:pPr>
        <w:pStyle w:val="FirstParagraph"/>
      </w:pPr>
      <w:r>
        <w:t xml:space="preserve">The specific context of</w:t>
      </w:r>
      <w:r>
        <w:t xml:space="preserve"> </w:t>
      </w:r>
      <w:r>
        <w:rPr>
          <w:bCs/>
          <w:b/>
        </w:rPr>
        <w:t xml:space="preserve">Japan Osaka</w:t>
      </w:r>
      <w:r>
        <w:t xml:space="preserve"> </w:t>
      </w:r>
      <w:r>
        <w:t xml:space="preserve">presents unique opportunities for innovation that can inform national policies. Unlike Tokyo, which is often seen as the bureaucratic center, Osaka has historically prided itself on a more pragmatic and entrepreneurial spirit. This cultural trait influences how secondary teachers approach education in the region.</w:t>
      </w:r>
    </w:p>
    <w:bookmarkStart w:id="24" w:name="a-addressing-student-disengagement"/>
    <w:p>
      <w:pPr>
        <w:pStyle w:val="Heading3"/>
      </w:pPr>
      <w:r>
        <w:t xml:space="preserve">A) Addressing Student Disengagement</w:t>
      </w:r>
    </w:p>
    <w:p>
      <w:pPr>
        <w:pStyle w:val="FirstParagraph"/>
      </w:pPr>
      <w:r>
        <w:t xml:space="preserve">One of the significant challenges for secondary education in Japan is student disengagement, particularly among adolescents who feel pressured by entrance exams. Teachers in Osaka are experimenting with "School Reform" models that reduce class hours and increase free study periods. This empowers</w:t>
      </w:r>
      <w:r>
        <w:t xml:space="preserve"> </w:t>
      </w:r>
      <w:r>
        <w:rPr>
          <w:bCs/>
          <w:b/>
        </w:rPr>
        <w:t xml:space="preserve">Teacher Secondary</w:t>
      </w:r>
      <w:r>
        <w:t xml:space="preserve"> </w:t>
      </w:r>
      <w:r>
        <w:t xml:space="preserve">professionals to focus on individualized support rather than uniform curriculum delivery.</w:t>
      </w:r>
    </w:p>
    <w:bookmarkEnd w:id="24"/>
    <w:bookmarkStart w:id="25" w:name="b-community-collaboration-shichoson-kodo"/>
    <w:p>
      <w:pPr>
        <w:pStyle w:val="Heading3"/>
      </w:pPr>
      <w:r>
        <w:t xml:space="preserve">B) Community Collaboration (*Shichoson Kodo*)</w:t>
      </w:r>
    </w:p>
    <w:p>
      <w:pPr>
        <w:pStyle w:val="FirstParagraph"/>
      </w:pPr>
      <w:r>
        <w:t xml:space="preserve">Another vital aspect is the strengthening of ties between schools and the local community. In Osaka, there is a robust tradition of school-community partnerships. Secondary teachers act as bridges, involving parents and local businesses in educational activities. This holistic approach ensures that education extends beyond the classroom walls, providing students with real-world learning experiences. This model highlights how</w:t>
      </w:r>
      <w:r>
        <w:t xml:space="preserve"> </w:t>
      </w:r>
      <w:r>
        <w:rPr>
          <w:bCs/>
          <w:b/>
        </w:rPr>
        <w:t xml:space="preserve">Japan Osaka</w:t>
      </w:r>
      <w:r>
        <w:t xml:space="preserve"> </w:t>
      </w:r>
      <w:r>
        <w:t xml:space="preserve">serves as a testing ground for community-integrated pedagogy.</w:t>
      </w:r>
    </w:p>
    <w:bookmarkEnd w:id="25"/>
    <w:bookmarkEnd w:id="26"/>
    <w:bookmarkStart w:id="27" w:name="X2264e146a1b32c0fb7457b3df2f0901f9de0d9e"/>
    <w:p>
      <w:pPr>
        <w:pStyle w:val="Heading2"/>
      </w:pPr>
      <w:r>
        <w:t xml:space="preserve">4. Policy Implications and Future Directions</w:t>
      </w:r>
    </w:p>
    <w:p>
      <w:pPr>
        <w:pStyle w:val="FirstParagraph"/>
      </w:pPr>
      <w:r>
        <w:t xml:space="preserve">The findings from this analysis suggest several critical recommendations for policymakers and educational leaders in Japan:</w:t>
      </w:r>
    </w:p>
    <w:p>
      <w:pPr>
        <w:numPr>
          <w:ilvl w:val="0"/>
          <w:numId w:val="1002"/>
        </w:numPr>
        <w:pStyle w:val="Compact"/>
      </w:pPr>
      <w:r>
        <w:t xml:space="preserve">Professional Development:</w:t>
      </w:r>
      <w:r>
        <w:t xml:space="preserve"> </w:t>
      </w:r>
      <w:r>
        <w:t xml:space="preserve">Continuous training programs for secondary teachers must evolve. Instead of generic workshops, PD should be localized to address specific challenges faced by teachers in diverse urban environments like Osaka.</w:t>
      </w:r>
    </w:p>
    <w:p>
      <w:pPr>
        <w:numPr>
          <w:ilvl w:val="0"/>
          <w:numId w:val="1002"/>
        </w:numPr>
        <w:pStyle w:val="Compact"/>
      </w:pPr>
      <w:r>
        <w:t xml:space="preserve">Evaluation Metrics:</w:t>
      </w:r>
      <w:r>
        <w:t xml:space="preserve"> </w:t>
      </w:r>
      <w:r>
        <w:t xml:space="preserve">Traditional evaluation methods that focus solely on test scores are insufficient. New metrics should assess a teacher’s ability to foster social-emotional learning, digital literacy, and cross-cultural competence. This shift is essential for the modern</w:t>
      </w:r>
      <w:r>
        <w:t xml:space="preserve"> </w:t>
      </w:r>
      <w:r>
        <w:rPr>
          <w:bCs/>
          <w:b/>
        </w:rPr>
        <w:t xml:space="preserve">Teacher Secondary</w:t>
      </w:r>
      <w:r>
        <w:t xml:space="preserve"> </w:t>
      </w:r>
      <w:r>
        <w:t xml:space="preserve">role in Japan.</w:t>
      </w:r>
    </w:p>
    <w:p>
      <w:pPr>
        <w:numPr>
          <w:ilvl w:val="0"/>
          <w:numId w:val="1002"/>
        </w:numPr>
        <w:pStyle w:val="Compact"/>
      </w:pPr>
      <w:r>
        <w:t xml:space="preserve">International Exchange:</w:t>
      </w:r>
      <w:r>
        <w:t xml:space="preserve"> </w:t>
      </w:r>
      <w:r>
        <w:t xml:space="preserve">Given Osaka’s status as an international hub, secondary schools should encourage more exchange programs with global partners. Teachers should be supported in leading these initiatives, thereby enhancing their own global perspectives which they can then transfer to their students.</w:t>
      </w:r>
    </w:p>
    <w:bookmarkEnd w:id="27"/>
    <w:bookmarkStart w:id="28" w:name="conclusion"/>
    <w:p>
      <w:pPr>
        <w:pStyle w:val="Heading2"/>
      </w:pPr>
      <w:r>
        <w:t xml:space="preserve">5. Conclusion</w:t>
      </w:r>
    </w:p>
    <w:p>
      <w:pPr>
        <w:pStyle w:val="FirstParagraph"/>
      </w:pPr>
      <w:r>
        <w:t xml:space="preserve">The landscape of secondary education in Japan is at a pivotal juncture. The role of the secondary teacher is no longer confined to the transmission of knowledge but has expanded to include mentorship, technological integration, and cultural mediation. As demonstrated through the lens of</w:t>
      </w:r>
      <w:r>
        <w:t xml:space="preserve"> </w:t>
      </w:r>
      <w:r>
        <w:rPr>
          <w:bCs/>
          <w:b/>
        </w:rPr>
        <w:t xml:space="preserve">Japan Osaka</w:t>
      </w:r>
      <w:r>
        <w:t xml:space="preserve">, there are viable pathways for innovation that balance tradition with modernity.</w:t>
      </w:r>
      <w:r>
        <w:t xml:space="preserve"> </w:t>
      </w:r>
      <w:r>
        <w:t xml:space="preserve">By empowering</w:t>
      </w:r>
      <w:r>
        <w:t xml:space="preserve"> </w:t>
      </w:r>
      <w:r>
        <w:rPr>
          <w:bCs/>
          <w:b/>
        </w:rPr>
        <w:t xml:space="preserve">Teacher Secondary</w:t>
      </w:r>
      <w:r>
        <w:t xml:space="preserve"> </w:t>
      </w:r>
      <w:r>
        <w:t xml:space="preserve">professionals with the necessary tools, support, and autonomy, Japan can cultivate a generation of learners who are not only academically proficient but also globally competent and socially responsible. The experiences shared from Osaka serve as a valuable case study for other regions facing similar educational transitions. Ultimately, the success of this transformation depends on a collaborative effort among educators, policymakers, communities, and international partners.</w:t>
      </w:r>
    </w:p>
    <w:bookmarkEnd w:id="28"/>
    <w:bookmarkStart w:id="29" w:name="references-and-acknowledgments"/>
    <w:p>
      <w:pPr>
        <w:pStyle w:val="Heading2"/>
      </w:pPr>
      <w:r>
        <w:t xml:space="preserve">6. References and Acknowledgments</w:t>
      </w:r>
    </w:p>
    <w:p>
      <w:pPr>
        <w:pStyle w:val="FirstParagraph"/>
      </w:pPr>
      <w:r>
        <w:t xml:space="preserve">This poster presentation draws upon recent data from the Ministry of Education, Culture, Sports, Science and Technology (MEXT), case studies from Osaka Prefectural Board of Education reports, and qualitative interviews conducted with secondary educators in the Kansai region. We acknowledge the contributions of all participating schools in Osaka for their willingness to share insights into their evolving pedagogical practices.</w:t>
      </w:r>
    </w:p>
    <w:p>
      <w:pPr>
        <w:pStyle w:val="BodyText"/>
      </w:pPr>
      <w:r>
        <w:rPr>
          <w:iCs/>
          <w:i/>
        </w:rPr>
        <w:t xml:space="preserve">Note: This document is formatted for academic poster presentation purposes, highlighting key aspects of secondary teacher development within the specific geographical and cultural context of Japan Osaka.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Japan</dc:title>
  <dc:creator/>
  <dc:language>en</dc:language>
  <cp:keywords/>
  <dcterms:created xsi:type="dcterms:W3CDTF">2026-07-29T11:48:39Z</dcterms:created>
  <dcterms:modified xsi:type="dcterms:W3CDTF">2026-07-29T11:48:39Z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