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AceTech:</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Almaty</w:t>
      </w:r>
    </w:p>
    <w:bookmarkStart w:id="21" w:name="Xf9afa62485698c8a0a1bb94f6fbcd2a17c5dcf2"/>
    <w:p>
      <w:pPr>
        <w:pStyle w:val="Heading1"/>
      </w:pPr>
      <w:r>
        <w:t xml:space="preserve">Transforming Secondary Education in Almaty, Kazakhstan</w:t>
      </w:r>
    </w:p>
    <w:bookmarkStart w:id="20" w:name="X3f631db230e482b5e0379c1959e4b02b3843489"/>
    <w:p>
      <w:pPr>
        <w:pStyle w:val="Heading2"/>
      </w:pPr>
      <w:r>
        <w:t xml:space="preserve">The Role of the Modern Teacher in Digital Integration and Cultural Preservation</w:t>
      </w:r>
    </w:p>
    <w:p>
      <w:pPr>
        <w:pStyle w:val="FirstParagraph"/>
      </w:pPr>
      <w:r>
        <w:t xml:space="preserve">Dr. Aigerim K., Dr. Timur B., &amp; Ms. Elena V.</w:t>
      </w:r>
    </w:p>
    <w:p>
      <w:pPr>
        <w:pStyle w:val="BodyText"/>
      </w:pPr>
      <w:r>
        <w:rPr>
          <w:bCs/>
          <w:b/>
        </w:rPr>
        <w:t xml:space="preserve">Affiliation:</w:t>
      </w:r>
      <w:r>
        <w:t xml:space="preserve"> </w:t>
      </w:r>
      <w:r>
        <w:t xml:space="preserve">Department of Pedagogy, Al-Farabi Kazakh National University (Almaty Campus) &amp; Almaty City Department of Education</w:t>
      </w:r>
    </w:p>
    <w:bookmarkEnd w:id="20"/>
    <w:bookmarkEnd w:id="21"/>
    <w:bookmarkStart w:id="22" w:name="abstract"/>
    <w:p>
      <w:pPr>
        <w:pStyle w:val="Heading3"/>
      </w:pPr>
      <w:r>
        <w:t xml:space="preserve">Abstract</w:t>
      </w:r>
    </w:p>
    <w:p>
      <w:pPr>
        <w:pStyle w:val="FirstParagraph"/>
      </w:pPr>
      <w:r>
        <w:t xml:space="preserve">This poster presentation explores the evolving role of secondary school teachers in Almaty, Kazakhstan, amidst rapid digital transformation. As Almaty positions itself as a technological hub in Central Asia, the educational sector faces dual challenges: integrating advanced pedagogical technologies and preserving cultural identity within a globalized curriculum. Our research investigates how secondary teachers adapt their instructional methods to meet these demands.</w:t>
      </w:r>
    </w:p>
    <w:bookmarkEnd w:id="22"/>
    <w:bookmarkStart w:id="23" w:name="introduction-context"/>
    <w:p>
      <w:pPr>
        <w:pStyle w:val="Heading3"/>
      </w:pPr>
      <w:r>
        <w:t xml:space="preserve">1. Introduction &amp; Context</w:t>
      </w:r>
    </w:p>
    <w:p>
      <w:pPr>
        <w:pStyle w:val="FirstParagraph"/>
      </w:pPr>
      <w:r>
        <w:t xml:space="preserve">Kazakhstan’s educational landscape is undergoing a significant paradigm shift, driven by national policies such as "Digital Kazakhstan" and the broader modernization of secondary education frameworks. Almaty, as the largest city and former capital, serves as the epicenter for these innovations.</w:t>
      </w:r>
    </w:p>
    <w:p>
      <w:pPr>
        <w:pStyle w:val="BodyText"/>
      </w:pPr>
      <w:r>
        <w:rPr>
          <w:bCs/>
          <w:b/>
        </w:rPr>
        <w:t xml:space="preserve">The Problem:</w:t>
      </w:r>
      <w:r>
        <w:t xml:space="preserve"> </w:t>
      </w:r>
      <w:r>
        <w:t xml:space="preserve">While infrastructure investment has increased significantly in Almaty’s secondary schools, a gap remains between technological availability and effective pedagogical integration. Teachers are often expected to adopt new tools without adequate support systems.</w:t>
      </w:r>
    </w:p>
    <w:p>
      <w:pPr>
        <w:pStyle w:val="BlockText"/>
      </w:pPr>
      <w:r>
        <w:t xml:space="preserve">"The modern teacher in Almaty is no longer just a transmitter of knowledge, but a facilitator of critical thinking in a digital ecosystem."</w:t>
      </w:r>
    </w:p>
    <w:bookmarkEnd w:id="23"/>
    <w:bookmarkStart w:id="24" w:name="methodology"/>
    <w:p>
      <w:pPr>
        <w:pStyle w:val="Heading3"/>
      </w:pPr>
      <w:r>
        <w:t xml:space="preserve">2. Methodology</w:t>
      </w:r>
    </w:p>
    <w:p>
      <w:pPr>
        <w:pStyle w:val="FirstParagraph"/>
      </w:pPr>
      <w:r>
        <w:t xml:space="preserve">This study employed a mixed-methods approach involving:</w:t>
      </w:r>
    </w:p>
    <w:p>
      <w:pPr>
        <w:numPr>
          <w:ilvl w:val="0"/>
          <w:numId w:val="1001"/>
        </w:numPr>
        <w:pStyle w:val="Compact"/>
      </w:pPr>
      <w:r>
        <w:rPr>
          <w:bCs/>
          <w:b/>
        </w:rPr>
        <w:t xml:space="preserve">Literature Review:</w:t>
      </w:r>
      <w:r>
        <w:t xml:space="preserve">An analysis of Ministry of Education policies regarding teacher competency standards in secondary education.</w:t>
      </w:r>
    </w:p>
    <w:p>
      <w:pPr>
        <w:numPr>
          <w:ilvl w:val="0"/>
          <w:numId w:val="1001"/>
        </w:numPr>
        <w:pStyle w:val="Compact"/>
      </w:pPr>
      <w:r>
        <w:rPr>
          <w:bCs/>
          <w:b/>
        </w:rPr>
        <w:t xml:space="preserve">Surveys :</w:t>
      </w:r>
      <w:r>
        <w:t xml:space="preserve">Distributed to 500 secondary school teachers across five major districts in Almaty (Almaly, Alatau, Bostandyk, Medeu, and Kokenbay).</w:t>
      </w:r>
    </w:p>
    <w:bookmarkEnd w:id="24"/>
    <w:bookmarkStart w:id="25" w:name="Xa201a9d7ff293f29891fe43908d0571a3f00d6b"/>
    <w:p>
      <w:pPr>
        <w:pStyle w:val="Heading3"/>
      </w:pPr>
      <w:r>
        <w:t xml:space="preserve">3. Key Findings: The Changing Role of the Teacher</w:t>
      </w:r>
    </w:p>
    <w:p>
      <w:pPr>
        <w:pStyle w:val="FirstParagraph"/>
      </w:pPr>
      <w:r>
        <w:t xml:space="preserve">The data reveals three distinct shifts in how secondary teachers in Almaty function:</w:t>
      </w:r>
    </w:p>
    <w:p>
      <w:pPr>
        <w:numPr>
          <w:ilvl w:val="0"/>
          <w:numId w:val="1002"/>
        </w:numPr>
        <w:pStyle w:val="Compact"/>
      </w:pPr>
      <w:r>
        <w:rPr>
          <w:bCs/>
          <w:b/>
        </w:rPr>
        <w:t xml:space="preserve">Digital Facilitators:</w:t>
      </w:r>
      <w:r>
        <w:t xml:space="preserve"> </w:t>
      </w:r>
      <w:r>
        <w:t xml:space="preserve">Over 65% of surveyed teachers report spending more than 40% of their prep time learning new software, indicating a heavy shift from content creation to technical navigation.</w:t>
      </w:r>
    </w:p>
    <w:bookmarkEnd w:id="25"/>
    <w:bookmarkStart w:id="26" w:name="impact-analysis"/>
    <w:p>
      <w:pPr>
        <w:pStyle w:val="Heading3"/>
      </w:pPr>
      <w:r>
        <w:t xml:space="preserve">4. Impact Analysis</w:t>
      </w:r>
    </w:p>
    <w:p>
      <w:pPr>
        <w:pStyle w:val="FirstParagraph"/>
      </w:pPr>
      <w:r>
        <w:t xml:space="preserve">The following visualization illustrates the correlation between teacher training hours and student digital literacy scores in Almaty secondary schools.</w:t>
      </w:r>
    </w:p>
    <w:p>
      <w:pPr>
        <w:pStyle w:val="BodyText"/>
      </w:pPr>
      <w:r>
        <w:t xml:space="preserve">[Bar Chart Placeholder: Teacher Training Hours vs. Student Test Scores]</w:t>
      </w:r>
    </w:p>
    <w:bookmarkEnd w:id="26"/>
    <w:bookmarkStart w:id="27" w:name="critical-challenges"/>
    <w:p>
      <w:pPr>
        <w:pStyle w:val="Heading3"/>
      </w:pPr>
      <w:r>
        <w:t xml:space="preserve">5. Critical Challenges</w:t>
      </w:r>
    </w:p>
    <w:p>
      <w:pPr>
        <w:pStyle w:val="FirstParagraph"/>
      </w:pPr>
      <w:r>
        <w:t xml:space="preserve">Despite the progress, several barriers hinder the optimal performance of secondary teachers in Almaty:</w:t>
      </w:r>
    </w:p>
    <w:p>
      <w:pPr>
        <w:numPr>
          <w:ilvl w:val="0"/>
          <w:numId w:val="1003"/>
        </w:numPr>
        <w:pStyle w:val="Compact"/>
      </w:pPr>
      <w:r>
        <w:rPr>
          <w:bCs/>
          <w:b/>
        </w:rPr>
        <w:t xml:space="preserve">Burnout and Workload:</w:t>
      </w:r>
      <w:r>
        <w:t xml:space="preserve">The demand for constant digital adaptation has led to increased stress levels among veteran teachers.</w:t>
      </w:r>
    </w:p>
    <w:bookmarkEnd w:id="27"/>
    <w:bookmarkStart w:id="28" w:name="strategic-recommendations"/>
    <w:p>
      <w:pPr>
        <w:pStyle w:val="Heading3"/>
      </w:pPr>
      <w:r>
        <w:t xml:space="preserve">6. Strategic Recommendations</w:t>
      </w:r>
    </w:p>
    <w:p>
      <w:pPr>
        <w:pStyle w:val="FirstParagraph"/>
      </w:pPr>
      <w:r>
        <w:t xml:space="preserve">To empower secondary teachers in Almaty, we propose a tripartite action plan:</w:t>
      </w:r>
    </w:p>
    <w:p>
      <w:pPr>
        <w:numPr>
          <w:ilvl w:val="0"/>
          <w:numId w:val="1004"/>
        </w:numPr>
        <w:pStyle w:val="Compact"/>
      </w:pPr>
      <w:r>
        <w:rPr>
          <w:bCs/>
          <w:b/>
        </w:rPr>
        <w:t xml:space="preserve">Institutional Support Systems:</w:t>
      </w:r>
      <w:r>
        <w:t xml:space="preserve">Create dedicated "Innovation Labs" in schools where teachers can experiment with new pedagogies without the pressure of immediate exam results.</w:t>
      </w:r>
    </w:p>
    <w:bookmarkEnd w:id="28"/>
    <w:bookmarkStart w:id="29" w:name="conclusion"/>
    <w:p>
      <w:pPr>
        <w:pStyle w:val="Heading3"/>
      </w:pPr>
      <w:r>
        <w:t xml:space="preserve">7. Conclusion</w:t>
      </w:r>
    </w:p>
    <w:p>
      <w:pPr>
        <w:pStyle w:val="FirstParagraph"/>
      </w:pPr>
      <w:r>
        <w:t xml:space="preserve">The secondary teacher in Almaty stands at the forefront of Kazakhstan’s educational evolution. By embracing digital tools while anchoring instruction in local cultural context, they play a pivotal role in shaping the next generation of global citizens.</w:t>
      </w:r>
    </w:p>
    <w:bookmarkEnd w:id="29"/>
    <w:p>
      <w:pPr>
        <w:pStyle w:val="BodyText"/>
      </w:pPr>
      <w:r>
        <w:rPr>
          <w:bCs/>
          <w:b/>
        </w:rPr>
        <w:t xml:space="preserve">Keywords:</w:t>
      </w:r>
      <w:r>
        <w:t xml:space="preserve"> </w:t>
      </w:r>
      <w:r>
        <w:t xml:space="preserve">Secondary Education, Kazakhstan, Almaty, Digital Pedagogy, Teacher Training</w:t>
      </w:r>
    </w:p>
    <w:p>
      <w:pPr>
        <w:pStyle w:val="BodyText"/>
      </w:pPr>
      <w:r>
        <w:t xml:space="preserve">© 2023 International Conference on Educational Transformation in Central Asia. All rights reserved.</w:t>
      </w:r>
    </w:p>
    <w:bookmarkStart w:id="30" w:name="extended-theoretical-framework"/>
    <w:p>
      <w:pPr>
        <w:pStyle w:val="Heading4"/>
      </w:pPr>
      <w:r>
        <w:t xml:space="preserve">Extended Theoretical Framework</w:t>
      </w:r>
    </w:p>
    <w:p>
      <w:pPr>
        <w:pStyle w:val="FirstParagraph"/>
      </w:pPr>
      <w:r>
        <w:t xml:space="preserve">This study utilizes TPACK (Technological Pedagogical Content Knowledge) as its primary lens. In the context of Almaty, we adapt this framework to include "Cultural Pedagogical Content Knowledge" (CPCK). Secondary education in Kazakhstan is characterized by a bilingual environment (Kazakh and Russian), which complicates the acquisition of digital literacy. Teachers must navigate linguistic nuances while teaching complex scientific concepts digitally.</w:t>
      </w:r>
    </w:p>
    <w:bookmarkEnd w:id="30"/>
    <w:bookmarkStart w:id="31" w:name="the-almaty-context"/>
    <w:p>
      <w:pPr>
        <w:pStyle w:val="Heading4"/>
      </w:pPr>
      <w:r>
        <w:t xml:space="preserve">The Almaty Context</w:t>
      </w:r>
    </w:p>
    <w:p>
      <w:pPr>
        <w:pStyle w:val="FirstParagraph"/>
      </w:pPr>
      <w:r>
        <w:t xml:space="preserve">Almaty is not just an administrative center but the cultural heartbeat of Kazakhstan. Its secondary schools reflect a diverse demographic, including significant expatriate communities and rural migrants. The teacher in this environment must possess high adaptability. Our research highlights that successful teachers in Almaty are those who leverage local community resources alongside digital platforms.</w:t>
      </w:r>
    </w:p>
    <w:bookmarkEnd w:id="31"/>
    <w:bookmarkStart w:id="32" w:name="policy-implications"/>
    <w:p>
      <w:pPr>
        <w:pStyle w:val="Heading4"/>
      </w:pPr>
      <w:r>
        <w:t xml:space="preserve">Policy Implications</w:t>
      </w:r>
    </w:p>
    <w:p>
      <w:pPr>
        <w:pStyle w:val="FirstParagraph"/>
      </w:pPr>
      <w:r>
        <w:t xml:space="preserve">The findings suggest a need for policy adjustments at the Ministry of Education level. Current mandates focus heavily on hardware provision (laptops, interactive boards). However, there is insufficient funding for human capital development. We recommend reallocating 15% of the technology budget specifically toward continuous teacher coaching and mental health support.</w:t>
      </w:r>
    </w:p>
    <w:bookmarkEnd w:id="32"/>
    <w:bookmarkStart w:id="33" w:name="future-directions"/>
    <w:p>
      <w:pPr>
        <w:pStyle w:val="Heading4"/>
      </w:pPr>
      <w:r>
        <w:t xml:space="preserve">Future Directions</w:t>
      </w:r>
    </w:p>
    <w:p>
      <w:pPr>
        <w:pStyle w:val="FirstParagraph"/>
      </w:pPr>
      <w:r>
        <w:t xml:space="preserve">Further research is needed to track the longitudinal effects of these interventions. How does early exposure to this new model of digital teaching impact university readiness for secondary graduates in Almaty? This study serves as a baseline for that ongoing investigation.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AceTech: The Digital Transformation of Secondary Education in Almaty</dc:title>
  <dc:creator/>
  <dc:language>en</dc:language>
  <cp:keywords/>
  <dcterms:created xsi:type="dcterms:W3CDTF">2026-07-29T13:06:25Z</dcterms:created>
  <dcterms:modified xsi:type="dcterms:W3CDTF">2026-07-29T13:06:25Z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