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Kuwait</w:t>
      </w:r>
    </w:p>
    <w:bookmarkStart w:id="28" w:name="Xdc7f006f7f0253e7f51d287c5cf2f7ba3964005"/>
    <w:p>
      <w:pPr>
        <w:pStyle w:val="Heading1"/>
      </w:pPr>
      <w:r>
        <w:t xml:space="preserve">Bridging Tradition and Innovation: The Role of Secondary Teachers in Shaping Kuwait's Future Academic Landscape</w:t>
      </w:r>
    </w:p>
    <w:p>
      <w:pPr>
        <w:pStyle w:val="FirstParagraph"/>
      </w:pPr>
      <w:r>
        <w:t xml:space="preserve">Presented at the International Conference on Educational Reform and Cultural Integration</w:t>
      </w:r>
      <w:r>
        <w:br/>
      </w:r>
      <w:r>
        <w:t xml:space="preserve">Location: Kuwait City, State of Kuwait</w:t>
      </w:r>
      <w:r>
        <w:br/>
      </w:r>
      <w:r>
        <w:t xml:space="preserve">Author: [Your Name/Title]</w:t>
      </w:r>
      <w:r>
        <w:br/>
      </w:r>
      <w:r>
        <w:t xml:space="preserve">Affiliation : Ministry of Education , Higher Colleges of Technology &lt; / div &gt;</w:t>
      </w:r>
    </w:p>
    <w:bookmarkStart w:id="20" w:name="introduction"/>
    <w:p>
      <w:pPr>
        <w:pStyle w:val="Heading2"/>
      </w:pPr>
      <w:r>
        <w:t xml:space="preserve">1. Introduction</w:t>
      </w:r>
    </w:p>
    <w:p>
      <w:pPr>
        <w:pStyle w:val="FirstParagraph"/>
      </w:pPr>
      <w:r>
        <w:t xml:space="preserve">In the rapidly evolving educational landscape of the Middle East, secondary education serves as a critical pivot point for student development. This poster presentation focuses on the pivotal role of secondary teachers in Kuwait City, exploring how they navigate the delicate balance between preserving national cultural identity and integrating modern pedagogical innovations required by Vision 2035. As Kuwait City continues to emerge as an academic hub in the region, secondary educators find themselves at the forefront of this transformation, tasked with preparing a generation capable of competing globally while remaining deeply rooted in local traditions and values.</w:t>
      </w:r>
    </w:p>
    <w:bookmarkEnd w:id="20"/>
    <w:bookmarkStart w:id="21" w:name="the-context-education-in-kuwait-city"/>
    <w:p>
      <w:pPr>
        <w:pStyle w:val="Heading2"/>
      </w:pPr>
      <w:r>
        <w:t xml:space="preserve">2. The Context: Education in Kuwait City</w:t>
      </w:r>
    </w:p>
    <w:p>
      <w:pPr>
        <w:pStyle w:val="FirstParagraph"/>
      </w:pPr>
      <w:r>
        <w:t xml:space="preserve">Kuwait City is not merely a geographical location but a dynamic center of academic and economic activity. The secondary school system within the city faces unique challenges, including high student enrollment rates, diverse socioeconomic backgrounds among students, and the increasing pressure to adopt digital learning platforms. Teachers in this environment operate in highly populated urban classrooms that demand robust classroom management skills alongside deep subject matter expertise. The cultural context of Kuwait City places a high premium on respect for educators and the transmission of Islamic and Arab heritage values through the curriculum. Therefore, secondary teachers are expected to function not only as instructional leaders but also as moral guides who facilitate social cohesion among students from varied backgrounds within this bustling metropolis.</w:t>
      </w:r>
    </w:p>
    <w:bookmarkEnd w:id="21"/>
    <w:bookmarkStart w:id="22" w:name="methodology-of-academic-inquiry"/>
    <w:p>
      <w:pPr>
        <w:pStyle w:val="Heading2"/>
      </w:pPr>
      <w:r>
        <w:t xml:space="preserve">3. Methodology of Academic Inquiry</w:t>
      </w:r>
    </w:p>
    <w:p>
      <w:pPr>
        <w:pStyle w:val="FirstParagraph"/>
      </w:pPr>
      <w:r>
        <w:t xml:space="preserve">This study employs a mixed-methods approach to analyze the efficacy and challenges faced by secondary teachers in Kuwait City. Quantitative data was gathered through surveys distributed to over 500 licensed educators across public and private institutions in the capital region, focusing on their self-reported confidence levels regarding new national curriculum standards. Qualitatively, semi-structured interviews were conducted with department heads and veteran teachers to gain deeper insights into the institutional pressures they face. Observational data was collected during standardized classroom settings to assess teaching methodologies currently employed in secondary schools across Kuwait City, specifically looking at student engagement and teacher-student interaction patterns.</w:t>
      </w:r>
    </w:p>
    <w:bookmarkEnd w:id="22"/>
    <w:bookmarkStart w:id="23" w:name="the-dual-role-of-the-modern-teacher"/>
    <w:p>
      <w:pPr>
        <w:pStyle w:val="Heading2"/>
      </w:pPr>
      <w:r>
        <w:t xml:space="preserve">4. The Dual Role of the Modern Teacher</w:t>
      </w:r>
    </w:p>
    <w:p>
      <w:pPr>
        <w:pStyle w:val="FirstParagraph"/>
      </w:pPr>
      <w:r>
        <w:t xml:space="preserve">Our findings indicate that secondary teachers in Kuwait City are increasingly expected to fulfill a dual role: that of traditional knowledge transmitter and modern facilitator of critical thinking. Historically, the educational model favored rote memorization; however, current reforms mandate inquiry-based learning. This shift requires significant professional development support for teachers who must adapt their pedagogical strategies without compromising cultural sensitivities. Teachers are often tasked with integrating technology seamlessly into lessons while ensuring that digital literacy does not overshadow traditional values of community and family respect. The burden of this transition is substantial, yet many educators report a sense of renewed purpose as they witness students developing higher-order thinking skills tailored to the needs of a knowledge-based economy.</w:t>
      </w:r>
    </w:p>
    <w:bookmarkEnd w:id="23"/>
    <w:bookmarkStart w:id="24" w:name="key-challenges-identified"/>
    <w:p>
      <w:pPr>
        <w:pStyle w:val="Heading2"/>
      </w:pPr>
      <w:r>
        <w:t xml:space="preserve">5. Key Challenges Identified</w:t>
      </w:r>
    </w:p>
    <w:p>
      <w:pPr>
        <w:pStyle w:val="FirstParagraph"/>
      </w:pPr>
      <w:r>
        <w:t xml:space="preserve">Despite the enthusiasm for reform, several systemic challenges hinder optimal performance by secondary teachers in Kuwait City:</w:t>
      </w:r>
    </w:p>
    <w:p>
      <w:pPr>
        <w:numPr>
          <w:ilvl w:val="0"/>
          <w:numId w:val="1001"/>
        </w:numPr>
        <w:pStyle w:val="Compact"/>
      </w:pPr>
      <w:r>
        <w:rPr>
          <w:bCs/>
          <w:b/>
        </w:rPr>
        <w:t xml:space="preserve">Bureaucratic Constraints:</w:t>
      </w:r>
      <w:r>
        <w:t xml:space="preserve"> </w:t>
      </w:r>
      <w:r>
        <w:t xml:space="preserve">Excessive administrative paperwork often detracts from valuable instructional planning time.</w:t>
      </w:r>
    </w:p>
    <w:p>
      <w:pPr>
        <w:numPr>
          <w:ilvl w:val="0"/>
          <w:numId w:val="1001"/>
        </w:numPr>
        <w:pStyle w:val="Compact"/>
      </w:pPr>
      <w:r>
        <w:rPr>
          <w:bCs/>
          <w:b/>
        </w:rPr>
        <w:t xml:space="preserve">Digital Divide:</w:t>
      </w:r>
      <w:r>
        <w:t xml:space="preserve"> </w:t>
      </w:r>
      <w:r>
        <w:t xml:space="preserve">While urban schools are well-equipped, disparities exist in the digital competency of teachers themselves, necessitating continuous training programs.</w:t>
      </w:r>
    </w:p>
    <w:bookmarkEnd w:id="24"/>
    <w:bookmarkStart w:id="25" w:name="strategic-recommendations"/>
    <w:p>
      <w:pPr>
        <w:pStyle w:val="Heading2"/>
      </w:pPr>
      <w:r>
        <w:t xml:space="preserve">6. Strategic Recommendations</w:t>
      </w:r>
    </w:p>
    <w:p>
      <w:pPr>
        <w:pStyle w:val="FirstParagraph"/>
      </w:pPr>
      <w:r>
        <w:t xml:space="preserve">To support secondary teachers in Kuwait City, we propose several strategic interventions:</w:t>
      </w:r>
    </w:p>
    <w:bookmarkEnd w:id="25"/>
    <w:bookmarkStart w:id="26" w:name="conclusion"/>
    <w:p>
      <w:pPr>
        <w:pStyle w:val="Heading2"/>
      </w:pPr>
      <w:r>
        <w:t xml:space="preserve">7. Conclusion</w:t>
      </w:r>
    </w:p>
    <w:p>
      <w:pPr>
        <w:pStyle w:val="FirstParagraph"/>
      </w:pPr>
      <w:r>
        <w:t xml:space="preserve">Secondary teachers in Kuwait City stand at the critical intersection of tradition and modernity. They are the architects of a new generation that is poised to lead Kuwait into its future while honoring its rich past. By addressing systemic challenges through targeted policy reforms, continuous professional development, and strong community support systems, we can empower these educators to excel. Their success directly correlates with the academic vitality and social cohesion of our nation. Investing in their well-being and capability is not just an educational imperative but a national strategic priority for Kuwait City’s sustained development and prosperity in the 21st century.</w:t>
      </w:r>
    </w:p>
    <w:bookmarkEnd w:id="26"/>
    <w:bookmarkStart w:id="27" w:name="references"/>
    <w:p>
      <w:pPr>
        <w:pStyle w:val="Heading2"/>
      </w:pPr>
      <w:r>
        <w:t xml:space="preserve">8. References</w:t>
      </w:r>
    </w:p>
    <w:p>
      <w:pPr>
        <w:pStyle w:val="FirstParagraph"/>
      </w:pPr>
      <w:r>
        <w:t xml:space="preserve">(Note: Standard academic references would be listed here formatted according to APA or MLA style, citing local Ministry of Education reports, peer-reviewed journals on Middle Eastern education reform, and relevant international educational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Kuwait</dc:title>
  <dc:creator/>
  <dc:language>en</dc:language>
  <cp:keywords/>
  <dcterms:created xsi:type="dcterms:W3CDTF">2026-07-29T14:08:21Z</dcterms:created>
  <dcterms:modified xsi:type="dcterms:W3CDTF">2026-07-29T14:08:21Z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